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87A230B"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B159A7">
        <w:rPr>
          <w:bCs/>
          <w:noProof w:val="0"/>
          <w:sz w:val="24"/>
          <w:szCs w:val="24"/>
        </w:rPr>
        <w:t>5882</w:t>
      </w:r>
    </w:p>
    <w:p w14:paraId="11776FA6" w14:textId="31D9CC98" w:rsidR="00A209D6" w:rsidRPr="007352FF" w:rsidRDefault="00537809"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C88E21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C1857">
        <w:rPr>
          <w:rFonts w:cs="Arial"/>
          <w:b/>
          <w:bCs/>
          <w:sz w:val="24"/>
          <w:lang w:eastAsia="ja-JP"/>
        </w:rPr>
        <w:t>7.7.4.1.1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3E866E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A626C">
        <w:rPr>
          <w:rFonts w:ascii="Arial" w:hAnsi="Arial" w:cs="Arial"/>
          <w:b/>
          <w:bCs/>
          <w:sz w:val="24"/>
        </w:rPr>
        <w:t xml:space="preserve">Resolving </w:t>
      </w:r>
      <w:r w:rsidR="00ED76EC">
        <w:rPr>
          <w:rFonts w:ascii="Arial" w:hAnsi="Arial" w:cs="Arial"/>
          <w:b/>
          <w:bCs/>
          <w:sz w:val="24"/>
        </w:rPr>
        <w:t>O</w:t>
      </w:r>
      <w:r w:rsidR="00CA626C">
        <w:rPr>
          <w:rFonts w:ascii="Arial" w:hAnsi="Arial" w:cs="Arial"/>
          <w:b/>
          <w:bCs/>
          <w:sz w:val="24"/>
        </w:rPr>
        <w:t xml:space="preserve">pen </w:t>
      </w:r>
      <w:r w:rsidR="00ED76EC">
        <w:rPr>
          <w:rFonts w:ascii="Arial" w:hAnsi="Arial" w:cs="Arial"/>
          <w:b/>
          <w:bCs/>
          <w:sz w:val="24"/>
        </w:rPr>
        <w:t>I</w:t>
      </w:r>
      <w:r w:rsidR="000420A1">
        <w:rPr>
          <w:rFonts w:ascii="Arial" w:hAnsi="Arial" w:cs="Arial"/>
          <w:b/>
          <w:bCs/>
          <w:sz w:val="24"/>
        </w:rPr>
        <w:t>ssues on</w:t>
      </w:r>
      <w:r w:rsidR="005C1857">
        <w:rPr>
          <w:rFonts w:ascii="Arial" w:hAnsi="Arial" w:cs="Arial"/>
          <w:b/>
          <w:bCs/>
          <w:sz w:val="24"/>
        </w:rPr>
        <w:t xml:space="preserve"> TN </w:t>
      </w:r>
      <w:r w:rsidR="00ED76EC">
        <w:rPr>
          <w:rFonts w:ascii="Arial" w:hAnsi="Arial" w:cs="Arial"/>
          <w:b/>
          <w:bCs/>
          <w:sz w:val="24"/>
        </w:rPr>
        <w:t>C</w:t>
      </w:r>
      <w:r w:rsidR="005C1857">
        <w:rPr>
          <w:rFonts w:ascii="Arial" w:hAnsi="Arial" w:cs="Arial"/>
          <w:b/>
          <w:bCs/>
          <w:sz w:val="24"/>
        </w:rPr>
        <w:t xml:space="preserve">overage </w:t>
      </w:r>
      <w:r w:rsidR="00ED76EC">
        <w:rPr>
          <w:rFonts w:ascii="Arial" w:hAnsi="Arial" w:cs="Arial"/>
          <w:b/>
          <w:bCs/>
          <w:sz w:val="24"/>
        </w:rPr>
        <w:t>D</w:t>
      </w:r>
      <w:r w:rsidR="005C1857">
        <w:rPr>
          <w:rFonts w:ascii="Arial" w:hAnsi="Arial" w:cs="Arial"/>
          <w:b/>
          <w:bCs/>
          <w:sz w:val="24"/>
        </w:rPr>
        <w:t>efinition</w:t>
      </w:r>
    </w:p>
    <w:p w14:paraId="25F387E8" w14:textId="1A8142A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C1857" w:rsidRPr="005C1857">
        <w:rPr>
          <w:rFonts w:ascii="Arial" w:hAnsi="Arial" w:cs="Arial"/>
          <w:b/>
          <w:bCs/>
          <w:sz w:val="24"/>
        </w:rPr>
        <w:t>NR_NTN_enh-Core</w:t>
      </w:r>
      <w:r w:rsidRPr="00112F1A">
        <w:rPr>
          <w:rFonts w:ascii="Arial" w:hAnsi="Arial" w:cs="Arial"/>
          <w:b/>
          <w:bCs/>
          <w:sz w:val="24"/>
        </w:rPr>
        <w:t xml:space="preserve"> </w:t>
      </w:r>
      <w:r>
        <w:rPr>
          <w:rFonts w:ascii="Arial" w:hAnsi="Arial" w:cs="Arial"/>
          <w:b/>
          <w:bCs/>
          <w:sz w:val="24"/>
        </w:rPr>
        <w:t xml:space="preserve">- Release </w:t>
      </w:r>
      <w:r w:rsidR="005C1857">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F17AEB0" w14:textId="2EB7AC9B" w:rsidR="00613050" w:rsidRDefault="00613050" w:rsidP="009339CB">
      <w:r>
        <w:t xml:space="preserve">To help the UE in efficient measurements towards terrestrial network (TN) coverage, RAN2 works on the definition of the TN coverage area. The following has been agreed at RAN2#121bis (April 2023) </w:t>
      </w:r>
      <w:r w:rsidR="00BE7A94">
        <w:fldChar w:fldCharType="begin"/>
      </w:r>
      <w:r w:rsidR="00BE7A94">
        <w:instrText xml:space="preserve"> REF _Ref134109227 \r \h </w:instrText>
      </w:r>
      <w:r w:rsidR="00BE7A94">
        <w:fldChar w:fldCharType="separate"/>
      </w:r>
      <w:r w:rsidR="00BE7A94">
        <w:t>[1]</w:t>
      </w:r>
      <w:r w:rsidR="00BE7A94">
        <w:fldChar w:fldCharType="end"/>
      </w:r>
      <w:r>
        <w:t>:</w:t>
      </w:r>
    </w:p>
    <w:tbl>
      <w:tblPr>
        <w:tblStyle w:val="TableGrid"/>
        <w:tblW w:w="0" w:type="auto"/>
        <w:tblLook w:val="04A0" w:firstRow="1" w:lastRow="0" w:firstColumn="1" w:lastColumn="0" w:noHBand="0" w:noVBand="1"/>
      </w:tblPr>
      <w:tblGrid>
        <w:gridCol w:w="9631"/>
      </w:tblGrid>
      <w:tr w:rsidR="00BE7A94" w14:paraId="309DAD1B" w14:textId="77777777" w:rsidTr="00BE7A94">
        <w:tc>
          <w:tcPr>
            <w:tcW w:w="9631" w:type="dxa"/>
          </w:tcPr>
          <w:p w14:paraId="169DA260" w14:textId="77777777" w:rsidR="00BE7A94" w:rsidRDefault="00BE7A94" w:rsidP="00BE7A94">
            <w:r>
              <w:t>Agreements:</w:t>
            </w:r>
          </w:p>
          <w:p w14:paraId="692E4F1B" w14:textId="386AFD77" w:rsidR="00BE7A94" w:rsidRDefault="00BE7A94" w:rsidP="00BE7A94">
            <w:r>
              <w:t>1.</w:t>
            </w:r>
            <w:r>
              <w:tab/>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 FFS on the SIB. FFS on whether additional information in dedicated signalling is needed/useful</w:t>
            </w:r>
          </w:p>
        </w:tc>
      </w:tr>
    </w:tbl>
    <w:p w14:paraId="75521D12" w14:textId="76FD28C5" w:rsidR="00C71893" w:rsidRDefault="00C71893" w:rsidP="009339CB">
      <w:r>
        <w:br/>
        <w:t xml:space="preserve">And the subsequent at-the-meeting e-mail discussion led to achieving the following decisions </w:t>
      </w:r>
      <w:r>
        <w:fldChar w:fldCharType="begin"/>
      </w:r>
      <w:r>
        <w:instrText xml:space="preserve"> REF _Ref134109508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31"/>
      </w:tblGrid>
      <w:tr w:rsidR="00BE7A94" w14:paraId="1E769527" w14:textId="77777777" w:rsidTr="00BE7A94">
        <w:tc>
          <w:tcPr>
            <w:tcW w:w="9631" w:type="dxa"/>
          </w:tcPr>
          <w:p w14:paraId="544B2C43" w14:textId="77777777" w:rsidR="00BE7A94" w:rsidRDefault="00BE7A94" w:rsidP="00BE7A94">
            <w:r>
              <w:t>Agreements via email – from offline 106:</w:t>
            </w:r>
          </w:p>
          <w:p w14:paraId="62EDDAC8" w14:textId="77777777" w:rsidR="00BE7A94" w:rsidRDefault="00BE7A94" w:rsidP="00BE7A94">
            <w:r>
              <w:t>1.</w:t>
            </w:r>
            <w:r>
              <w:tab/>
              <w:t>Area center location and its radius for TN coverage information is signalled using Ellipsoid-Point and radius separately. FFS if Rel-17 referenceLocation and distanceThresh are directly reused</w:t>
            </w:r>
          </w:p>
          <w:p w14:paraId="3172DC34" w14:textId="59EF1FB1" w:rsidR="00BE7A94" w:rsidRDefault="00BE7A94" w:rsidP="00BE7A94">
            <w:r>
              <w:t>2.</w:t>
            </w:r>
            <w:r>
              <w:tab/>
              <w:t>Decision on the size of TN coverage area list is postponed until more is known on the format of this information and how is it sent.</w:t>
            </w:r>
          </w:p>
        </w:tc>
      </w:tr>
    </w:tbl>
    <w:p w14:paraId="6C6F8FD0" w14:textId="06B99BBD" w:rsidR="00BE7A94" w:rsidRDefault="00BE7A94" w:rsidP="009339CB"/>
    <w:tbl>
      <w:tblPr>
        <w:tblStyle w:val="TableGrid"/>
        <w:tblW w:w="0" w:type="auto"/>
        <w:tblLook w:val="04A0" w:firstRow="1" w:lastRow="0" w:firstColumn="1" w:lastColumn="0" w:noHBand="0" w:noVBand="1"/>
      </w:tblPr>
      <w:tblGrid>
        <w:gridCol w:w="9631"/>
      </w:tblGrid>
      <w:tr w:rsidR="00BE7A94" w14:paraId="0CE97967" w14:textId="77777777" w:rsidTr="00BE7A94">
        <w:tc>
          <w:tcPr>
            <w:tcW w:w="9631" w:type="dxa"/>
          </w:tcPr>
          <w:p w14:paraId="49A8858A" w14:textId="77777777" w:rsidR="00BE7A94" w:rsidRDefault="00BE7A94" w:rsidP="00BE7A94">
            <w:r>
              <w:t>Agreements online:</w:t>
            </w:r>
          </w:p>
          <w:p w14:paraId="6117E03D" w14:textId="77777777" w:rsidR="00BE7A94" w:rsidRDefault="00BE7A94" w:rsidP="00BE7A94">
            <w:r>
              <w:t>1.</w:t>
            </w:r>
            <w:r>
              <w:tab/>
              <w:t>The discussion on how to indicate the frequency information for each TN coverage area should be combined with the discussion on which SIB will be used to indicate the TN coverage area, possibly based on evaluation of the signalling overhead</w:t>
            </w:r>
          </w:p>
          <w:p w14:paraId="6C026D95" w14:textId="77777777" w:rsidR="00BE7A94" w:rsidRDefault="00BE7A94" w:rsidP="00BE7A94">
            <w:r>
              <w:t>2.</w:t>
            </w:r>
            <w:r>
              <w:tab/>
              <w:t>The acquired TN area coverage information remains valid until the next system information update of the SIB including TN coverage info</w:t>
            </w:r>
          </w:p>
          <w:p w14:paraId="3432DCC6" w14:textId="77777777" w:rsidR="00BE7A94" w:rsidRDefault="00BE7A94" w:rsidP="00BE7A94">
            <w:r>
              <w:t>Working assumption:</w:t>
            </w:r>
          </w:p>
          <w:p w14:paraId="008517AA" w14:textId="73AFFB84" w:rsidR="00BE7A94" w:rsidRDefault="00BE7A94" w:rsidP="00BE7A94">
            <w:r>
              <w:t>1.</w:t>
            </w:r>
            <w:r>
              <w:tab/>
              <w:t>We do not introduce new triggers making the UE reacquire the TN coverage information from SI.</w:t>
            </w:r>
          </w:p>
        </w:tc>
      </w:tr>
    </w:tbl>
    <w:p w14:paraId="57657C84" w14:textId="70A28B05" w:rsidR="00BE7A94" w:rsidRDefault="00BE7A94" w:rsidP="009339CB">
      <w:r>
        <w:br/>
        <w:t>In this paper we share our further view on the unresolved aspects to finalize the TN coverage area definition in Rel-18.</w:t>
      </w:r>
    </w:p>
    <w:p w14:paraId="7D484B6E" w14:textId="57483CF6" w:rsidR="009339CB" w:rsidRPr="006E13D1" w:rsidRDefault="009339CB" w:rsidP="009339CB">
      <w:pPr>
        <w:pStyle w:val="Heading1"/>
      </w:pPr>
      <w:r w:rsidRPr="006E13D1">
        <w:t>2</w:t>
      </w:r>
      <w:r w:rsidRPr="006E13D1">
        <w:tab/>
      </w:r>
      <w:r w:rsidR="00BE7A94">
        <w:t>Discussion</w:t>
      </w:r>
    </w:p>
    <w:p w14:paraId="5982B445" w14:textId="4B77A403" w:rsidR="009339CB" w:rsidRPr="006E13D1" w:rsidRDefault="009339CB" w:rsidP="009339CB">
      <w:pPr>
        <w:pStyle w:val="Heading2"/>
      </w:pPr>
      <w:r>
        <w:t>2</w:t>
      </w:r>
      <w:r w:rsidRPr="006E13D1">
        <w:t>.1</w:t>
      </w:r>
      <w:r w:rsidRPr="006E13D1">
        <w:tab/>
      </w:r>
      <w:r w:rsidR="00BE7A94">
        <w:t>Definition of TN coverage area</w:t>
      </w:r>
    </w:p>
    <w:p w14:paraId="01621B08" w14:textId="6D66A7BE" w:rsidR="00831AD6" w:rsidRDefault="00C71893" w:rsidP="00BF6341">
      <w:pPr>
        <w:jc w:val="both"/>
      </w:pPr>
      <w:r>
        <w:t>During RAN2#121bis, it was agreed to adopt Option 1 (</w:t>
      </w:r>
      <w:r w:rsidRPr="000A7CE0">
        <w:rPr>
          <w:i/>
          <w:iCs/>
        </w:rPr>
        <w:t>The corresponding geographical area information is provided by network with location coordinates of area center and radius</w:t>
      </w:r>
      <w:r>
        <w:t>)</w:t>
      </w:r>
      <w:r w:rsidR="000A7CE0">
        <w:t xml:space="preserve"> and reuse </w:t>
      </w:r>
      <w:r w:rsidR="000A7CE0" w:rsidRPr="003D0051">
        <w:rPr>
          <w:i/>
          <w:iCs/>
        </w:rPr>
        <w:t>Ellipsoid-Point</w:t>
      </w:r>
      <w:r w:rsidR="000A7CE0">
        <w:t xml:space="preserve"> and radius. In our previous paper </w:t>
      </w:r>
      <w:r w:rsidR="000A7CE0">
        <w:fldChar w:fldCharType="begin"/>
      </w:r>
      <w:r w:rsidR="000A7CE0">
        <w:instrText xml:space="preserve"> REF _Ref134110017 \r \h </w:instrText>
      </w:r>
      <w:r w:rsidR="00CC25DD">
        <w:instrText xml:space="preserve"> \* MERGEFORMAT </w:instrText>
      </w:r>
      <w:r w:rsidR="000A7CE0">
        <w:fldChar w:fldCharType="separate"/>
      </w:r>
      <w:r w:rsidR="000A7CE0">
        <w:t>[3]</w:t>
      </w:r>
      <w:r w:rsidR="000A7CE0">
        <w:fldChar w:fldCharType="end"/>
      </w:r>
      <w:r w:rsidR="00801C6B">
        <w:t xml:space="preserve"> we have observed that if </w:t>
      </w:r>
      <w:r w:rsidR="00801C6B" w:rsidRPr="00801C6B">
        <w:t xml:space="preserve">TN area’s center is represented using </w:t>
      </w:r>
      <w:r w:rsidR="00801C6B" w:rsidRPr="00801C6B">
        <w:rPr>
          <w:i/>
          <w:iCs/>
        </w:rPr>
        <w:t>Ellipsoid-Point</w:t>
      </w:r>
      <w:r w:rsidR="00801C6B" w:rsidRPr="00801C6B">
        <w:t xml:space="preserve">, and the minimum and maximum radius </w:t>
      </w:r>
      <w:r w:rsidR="003D0051">
        <w:t>are</w:t>
      </w:r>
      <w:r w:rsidR="00801C6B" w:rsidRPr="00801C6B">
        <w:t xml:space="preserve"> equal to 1 km and 50 km, respectively then 54 bits are required to signal a single TN coverage area</w:t>
      </w:r>
      <w:r w:rsidR="00801C6B">
        <w:t>. During RAN2#121bis</w:t>
      </w:r>
      <w:r w:rsidR="003D0051">
        <w:t xml:space="preserve"> </w:t>
      </w:r>
      <w:r w:rsidR="00801C6B">
        <w:t>multiple companies</w:t>
      </w:r>
      <w:r w:rsidR="003D0051">
        <w:t xml:space="preserve"> mentioned</w:t>
      </w:r>
      <w:r w:rsidR="00801C6B">
        <w:t xml:space="preserve"> that the framework already existing in Rel-17 (i.e. </w:t>
      </w:r>
      <w:r w:rsidR="00801C6B" w:rsidRPr="00E51F64">
        <w:rPr>
          <w:i/>
          <w:iCs/>
        </w:rPr>
        <w:t>referenceLocation</w:t>
      </w:r>
      <w:r w:rsidR="00801C6B">
        <w:t xml:space="preserve"> and </w:t>
      </w:r>
      <w:r w:rsidR="00801C6B" w:rsidRPr="00E51F64">
        <w:rPr>
          <w:i/>
          <w:iCs/>
        </w:rPr>
        <w:t>distanceThresh</w:t>
      </w:r>
      <w:r w:rsidR="00801C6B">
        <w:t xml:space="preserve">) could be directly reused. According to the definition in </w:t>
      </w:r>
      <w:r w:rsidR="00372B0F">
        <w:fldChar w:fldCharType="begin"/>
      </w:r>
      <w:r w:rsidR="00372B0F">
        <w:instrText xml:space="preserve"> REF _Ref134110347 \r \h </w:instrText>
      </w:r>
      <w:r w:rsidR="00CC25DD">
        <w:instrText xml:space="preserve"> \* MERGEFORMAT </w:instrText>
      </w:r>
      <w:r w:rsidR="00372B0F">
        <w:fldChar w:fldCharType="separate"/>
      </w:r>
      <w:r w:rsidR="00372B0F">
        <w:t>[4]</w:t>
      </w:r>
      <w:r w:rsidR="00372B0F">
        <w:fldChar w:fldCharType="end"/>
      </w:r>
      <w:r w:rsidR="00831AD6">
        <w:t xml:space="preserve">, </w:t>
      </w:r>
      <w:r w:rsidR="00831AD6" w:rsidRPr="00831AD6">
        <w:rPr>
          <w:i/>
          <w:iCs/>
        </w:rPr>
        <w:t>distanceThresh</w:t>
      </w:r>
      <w:r w:rsidR="00831AD6">
        <w:t xml:space="preserve"> is defined as follows:</w:t>
      </w:r>
    </w:p>
    <w:tbl>
      <w:tblPr>
        <w:tblStyle w:val="TableGrid"/>
        <w:tblW w:w="0" w:type="auto"/>
        <w:tblLook w:val="04A0" w:firstRow="1" w:lastRow="0" w:firstColumn="1" w:lastColumn="0" w:noHBand="0" w:noVBand="1"/>
      </w:tblPr>
      <w:tblGrid>
        <w:gridCol w:w="9631"/>
      </w:tblGrid>
      <w:tr w:rsidR="00831AD6" w14:paraId="7CA7E01E" w14:textId="77777777" w:rsidTr="00831AD6">
        <w:tc>
          <w:tcPr>
            <w:tcW w:w="9631" w:type="dxa"/>
          </w:tcPr>
          <w:p w14:paraId="28FFF88C" w14:textId="77777777" w:rsidR="00831AD6" w:rsidRPr="00831AD6" w:rsidRDefault="00831AD6" w:rsidP="00831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1AD6">
              <w:rPr>
                <w:rFonts w:ascii="Courier New" w:hAnsi="Courier New"/>
                <w:noProof/>
                <w:sz w:val="16"/>
                <w:lang w:eastAsia="en-GB"/>
              </w:rPr>
              <w:t xml:space="preserve">distanceThresh-r17                       </w:t>
            </w:r>
            <w:r w:rsidRPr="00831AD6">
              <w:rPr>
                <w:rFonts w:ascii="Courier New" w:hAnsi="Courier New"/>
                <w:noProof/>
                <w:color w:val="993366"/>
                <w:sz w:val="16"/>
                <w:lang w:eastAsia="en-GB"/>
              </w:rPr>
              <w:t>INTEGER</w:t>
            </w:r>
            <w:r w:rsidRPr="00831AD6">
              <w:rPr>
                <w:rFonts w:ascii="Courier New" w:hAnsi="Courier New"/>
                <w:noProof/>
                <w:sz w:val="16"/>
                <w:lang w:eastAsia="en-GB"/>
              </w:rPr>
              <w:t xml:space="preserve">(0..65525)                               </w:t>
            </w:r>
            <w:r w:rsidRPr="00831AD6">
              <w:rPr>
                <w:rFonts w:ascii="Courier New" w:hAnsi="Courier New"/>
                <w:noProof/>
                <w:color w:val="993366"/>
                <w:sz w:val="16"/>
                <w:lang w:eastAsia="en-GB"/>
              </w:rPr>
              <w:t>OPTIONAL</w:t>
            </w:r>
            <w:r w:rsidRPr="00831AD6">
              <w:rPr>
                <w:rFonts w:ascii="Courier New" w:hAnsi="Courier New"/>
                <w:noProof/>
                <w:sz w:val="16"/>
                <w:lang w:eastAsia="en-GB"/>
              </w:rPr>
              <w:t xml:space="preserve">,       </w:t>
            </w:r>
            <w:r w:rsidRPr="00831AD6">
              <w:rPr>
                <w:rFonts w:ascii="Courier New" w:hAnsi="Courier New"/>
                <w:noProof/>
                <w:color w:val="808080"/>
                <w:sz w:val="16"/>
                <w:lang w:eastAsia="en-GB"/>
              </w:rPr>
              <w:t>-- Need R</w:t>
            </w:r>
          </w:p>
          <w:p w14:paraId="7EEED2E2" w14:textId="77777777" w:rsidR="00831AD6" w:rsidRPr="00831AD6" w:rsidRDefault="00831AD6" w:rsidP="00831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p>
          <w:tbl>
            <w:tblPr>
              <w:tblW w:w="931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319"/>
            </w:tblGrid>
            <w:tr w:rsidR="00831AD6" w:rsidRPr="00831AD6" w14:paraId="451C352E" w14:textId="77777777" w:rsidTr="00831AD6">
              <w:trPr>
                <w:cantSplit/>
                <w:trHeight w:val="383"/>
                <w:tblHeader/>
              </w:trPr>
              <w:tc>
                <w:tcPr>
                  <w:tcW w:w="9319" w:type="dxa"/>
                  <w:tcBorders>
                    <w:top w:val="single" w:sz="4" w:space="0" w:color="808080"/>
                    <w:left w:val="single" w:sz="4" w:space="0" w:color="808080"/>
                    <w:bottom w:val="single" w:sz="4" w:space="0" w:color="808080"/>
                    <w:right w:val="single" w:sz="4" w:space="0" w:color="808080"/>
                  </w:tcBorders>
                </w:tcPr>
                <w:p w14:paraId="2B1D1D41" w14:textId="77777777" w:rsidR="00831AD6" w:rsidRPr="00831AD6" w:rsidRDefault="00831AD6" w:rsidP="00831AD6">
                  <w:pPr>
                    <w:keepNext/>
                    <w:keepLines/>
                    <w:overflowPunct w:val="0"/>
                    <w:autoSpaceDE w:val="0"/>
                    <w:autoSpaceDN w:val="0"/>
                    <w:adjustRightInd w:val="0"/>
                    <w:spacing w:after="0"/>
                    <w:textAlignment w:val="baseline"/>
                    <w:rPr>
                      <w:rFonts w:ascii="Arial" w:hAnsi="Arial"/>
                      <w:b/>
                      <w:bCs/>
                      <w:i/>
                      <w:iCs/>
                      <w:kern w:val="2"/>
                      <w:sz w:val="18"/>
                      <w:lang w:eastAsia="ja-JP"/>
                    </w:rPr>
                  </w:pPr>
                  <w:r w:rsidRPr="00831AD6">
                    <w:rPr>
                      <w:rFonts w:ascii="Arial" w:hAnsi="Arial"/>
                      <w:b/>
                      <w:bCs/>
                      <w:i/>
                      <w:iCs/>
                      <w:kern w:val="2"/>
                      <w:sz w:val="18"/>
                      <w:lang w:eastAsia="ja-JP"/>
                    </w:rPr>
                    <w:t>distanceThresh</w:t>
                  </w:r>
                </w:p>
                <w:p w14:paraId="16F80D20" w14:textId="77777777" w:rsidR="00831AD6" w:rsidRPr="00831AD6" w:rsidRDefault="00831AD6" w:rsidP="00831AD6">
                  <w:pPr>
                    <w:keepNext/>
                    <w:keepLines/>
                    <w:overflowPunct w:val="0"/>
                    <w:autoSpaceDE w:val="0"/>
                    <w:autoSpaceDN w:val="0"/>
                    <w:adjustRightInd w:val="0"/>
                    <w:spacing w:after="0"/>
                    <w:textAlignment w:val="baseline"/>
                    <w:rPr>
                      <w:rFonts w:ascii="Arial" w:hAnsi="Arial"/>
                      <w:sz w:val="18"/>
                      <w:lang w:eastAsia="en-GB"/>
                    </w:rPr>
                  </w:pPr>
                  <w:r w:rsidRPr="00831AD6">
                    <w:rPr>
                      <w:rFonts w:ascii="Arial" w:hAnsi="Arial"/>
                      <w:sz w:val="18"/>
                      <w:lang w:eastAsia="zh-CN"/>
                    </w:rPr>
                    <w:t xml:space="preserve">Distance from the serving cell reference location and is used in location-based measurement initiation in </w:t>
                  </w:r>
                  <w:r w:rsidRPr="00831AD6">
                    <w:rPr>
                      <w:rFonts w:ascii="Arial" w:hAnsi="Arial"/>
                      <w:sz w:val="18"/>
                      <w:lang w:eastAsia="ja-JP"/>
                    </w:rPr>
                    <w:t>RRC_IDLE and RRC_INACTIVE</w:t>
                  </w:r>
                  <w:r w:rsidRPr="00831AD6">
                    <w:rPr>
                      <w:rFonts w:ascii="Arial" w:hAnsi="Arial"/>
                      <w:sz w:val="18"/>
                      <w:lang w:eastAsia="zh-CN"/>
                    </w:rPr>
                    <w:t>, as defined in TS 38.304 [20]. Each step represents 50m.</w:t>
                  </w:r>
                </w:p>
              </w:tc>
            </w:tr>
          </w:tbl>
          <w:p w14:paraId="374567B2" w14:textId="77777777" w:rsidR="00831AD6" w:rsidRDefault="00831AD6" w:rsidP="009339CB"/>
        </w:tc>
      </w:tr>
    </w:tbl>
    <w:p w14:paraId="12879182" w14:textId="6A2C4001" w:rsidR="00831AD6" w:rsidRDefault="00831AD6" w:rsidP="00BF6341">
      <w:pPr>
        <w:jc w:val="both"/>
      </w:pPr>
      <w:r>
        <w:br/>
        <w:t xml:space="preserve">While </w:t>
      </w:r>
      <w:r w:rsidRPr="00831AD6">
        <w:rPr>
          <w:i/>
          <w:iCs/>
        </w:rPr>
        <w:t>referenceLocation</w:t>
      </w:r>
      <w:r>
        <w:t xml:space="preserve"> uses </w:t>
      </w:r>
      <w:r w:rsidRPr="00831AD6">
        <w:rPr>
          <w:i/>
          <w:iCs/>
        </w:rPr>
        <w:t>Ellipsoid-Point</w:t>
      </w:r>
      <w:r>
        <w:t xml:space="preserve">, as we suggested also in our paper </w:t>
      </w:r>
      <w:r>
        <w:fldChar w:fldCharType="begin"/>
      </w:r>
      <w:r>
        <w:instrText xml:space="preserve"> REF _Ref134110017 \r \h </w:instrText>
      </w:r>
      <w:r w:rsidR="00CC25DD">
        <w:instrText xml:space="preserve">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31"/>
      </w:tblGrid>
      <w:tr w:rsidR="00831AD6" w14:paraId="3D001491" w14:textId="77777777" w:rsidTr="00831AD6">
        <w:tc>
          <w:tcPr>
            <w:tcW w:w="9631" w:type="dxa"/>
          </w:tcPr>
          <w:p w14:paraId="25DC8033" w14:textId="77777777" w:rsidR="00831AD6" w:rsidRPr="00831AD6" w:rsidRDefault="00831AD6" w:rsidP="00831AD6">
            <w:pPr>
              <w:ind w:firstLine="284"/>
              <w:rPr>
                <w:rFonts w:ascii="Arial" w:hAnsi="Arial" w:cs="Arial"/>
                <w:b/>
                <w:bCs/>
                <w:i/>
                <w:iCs/>
                <w:sz w:val="24"/>
                <w:szCs w:val="24"/>
                <w:lang w:eastAsia="ja-JP"/>
              </w:rPr>
            </w:pPr>
            <w:r w:rsidRPr="00831AD6">
              <w:rPr>
                <w:rFonts w:ascii="Arial" w:hAnsi="Arial" w:cs="Arial"/>
                <w:b/>
                <w:bCs/>
                <w:i/>
                <w:iCs/>
                <w:sz w:val="24"/>
                <w:szCs w:val="24"/>
                <w:lang w:eastAsia="ja-JP"/>
              </w:rPr>
              <w:t>ReferenceLocation</w:t>
            </w:r>
          </w:p>
          <w:p w14:paraId="172EE139" w14:textId="77777777" w:rsidR="00831AD6" w:rsidRPr="00831AD6" w:rsidRDefault="00831AD6" w:rsidP="00831AD6">
            <w:pPr>
              <w:overflowPunct w:val="0"/>
              <w:autoSpaceDE w:val="0"/>
              <w:autoSpaceDN w:val="0"/>
              <w:adjustRightInd w:val="0"/>
              <w:textAlignment w:val="baseline"/>
              <w:rPr>
                <w:lang w:eastAsia="ja-JP"/>
              </w:rPr>
            </w:pPr>
            <w:r w:rsidRPr="00831AD6">
              <w:rPr>
                <w:lang w:eastAsia="ja-JP"/>
              </w:rPr>
              <w:t xml:space="preserve">The IE </w:t>
            </w:r>
            <w:r w:rsidRPr="00831AD6">
              <w:rPr>
                <w:i/>
                <w:lang w:eastAsia="ja-JP"/>
              </w:rPr>
              <w:t>ReferenceLocation</w:t>
            </w:r>
            <w:r w:rsidRPr="00831AD6">
              <w:rPr>
                <w:lang w:eastAsia="ja-JP"/>
              </w:rPr>
              <w:t xml:space="preserve"> contains location information used as a reference location. </w:t>
            </w:r>
            <w:r w:rsidRPr="00831AD6">
              <w:rPr>
                <w:snapToGrid w:val="0"/>
                <w:lang w:eastAsia="en-GB"/>
              </w:rPr>
              <w:t xml:space="preserve">The value of the field is same as </w:t>
            </w:r>
            <w:r w:rsidRPr="00831AD6">
              <w:rPr>
                <w:i/>
                <w:lang w:eastAsia="ko-KR"/>
              </w:rPr>
              <w:t>Ellipsoid-Point</w:t>
            </w:r>
            <w:r w:rsidRPr="00831AD6">
              <w:rPr>
                <w:snapToGrid w:val="0"/>
                <w:lang w:eastAsia="en-GB"/>
              </w:rPr>
              <w:t xml:space="preserve"> defined in TS37.355 [49]. </w:t>
            </w:r>
            <w:r w:rsidRPr="00831AD6">
              <w:rPr>
                <w:lang w:eastAsia="en-GB"/>
              </w:rPr>
              <w:t>The first/leftmost bit of the first octet contains the most significant bit.</w:t>
            </w:r>
          </w:p>
          <w:p w14:paraId="7C830020" w14:textId="77777777" w:rsidR="00831AD6" w:rsidRPr="00831AD6" w:rsidRDefault="00831AD6" w:rsidP="00831AD6">
            <w:pPr>
              <w:keepNext/>
              <w:keepLines/>
              <w:overflowPunct w:val="0"/>
              <w:autoSpaceDE w:val="0"/>
              <w:autoSpaceDN w:val="0"/>
              <w:adjustRightInd w:val="0"/>
              <w:spacing w:before="60"/>
              <w:jc w:val="center"/>
              <w:textAlignment w:val="baseline"/>
              <w:rPr>
                <w:rFonts w:ascii="Arial" w:hAnsi="Arial"/>
                <w:b/>
                <w:lang w:eastAsia="ja-JP"/>
              </w:rPr>
            </w:pPr>
            <w:r w:rsidRPr="00831AD6">
              <w:rPr>
                <w:rFonts w:ascii="Arial" w:hAnsi="Arial"/>
                <w:b/>
                <w:i/>
                <w:lang w:eastAsia="ja-JP"/>
              </w:rPr>
              <w:t>ReferenceLocation</w:t>
            </w:r>
            <w:r w:rsidRPr="00831AD6">
              <w:rPr>
                <w:rFonts w:ascii="Arial" w:hAnsi="Arial"/>
                <w:b/>
                <w:lang w:eastAsia="ja-JP"/>
              </w:rPr>
              <w:t xml:space="preserve"> information element</w:t>
            </w:r>
          </w:p>
          <w:p w14:paraId="48A8C336" w14:textId="77777777" w:rsidR="00831AD6" w:rsidRPr="00831AD6" w:rsidRDefault="00831AD6" w:rsidP="00831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1AD6">
              <w:rPr>
                <w:rFonts w:ascii="Courier New" w:hAnsi="Courier New"/>
                <w:noProof/>
                <w:color w:val="808080"/>
                <w:sz w:val="16"/>
                <w:lang w:eastAsia="en-GB"/>
              </w:rPr>
              <w:t>-- ASN1START</w:t>
            </w:r>
          </w:p>
          <w:p w14:paraId="0D55C490" w14:textId="77777777" w:rsidR="00831AD6" w:rsidRPr="00831AD6" w:rsidRDefault="00831AD6" w:rsidP="00831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1AD6">
              <w:rPr>
                <w:rFonts w:ascii="Courier New" w:hAnsi="Courier New"/>
                <w:noProof/>
                <w:color w:val="808080"/>
                <w:sz w:val="16"/>
                <w:lang w:eastAsia="en-GB"/>
              </w:rPr>
              <w:t>-- TAG-REFERENCELOCATION-START</w:t>
            </w:r>
          </w:p>
          <w:p w14:paraId="2E6288E7" w14:textId="77777777" w:rsidR="00831AD6" w:rsidRPr="00831AD6" w:rsidRDefault="00831AD6" w:rsidP="00831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2ACF6D" w14:textId="77777777" w:rsidR="00831AD6" w:rsidRPr="00831AD6" w:rsidRDefault="00831AD6" w:rsidP="00831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31AD6">
              <w:rPr>
                <w:rFonts w:ascii="Courier New" w:hAnsi="Courier New"/>
                <w:noProof/>
                <w:sz w:val="16"/>
                <w:lang w:eastAsia="en-GB"/>
              </w:rPr>
              <w:t xml:space="preserve">ReferenceLocation-r17 ::= </w:t>
            </w:r>
            <w:r w:rsidRPr="00831AD6">
              <w:rPr>
                <w:rFonts w:ascii="Courier New" w:hAnsi="Courier New"/>
                <w:noProof/>
                <w:color w:val="993366"/>
                <w:sz w:val="16"/>
                <w:lang w:eastAsia="en-GB"/>
              </w:rPr>
              <w:t>OCTET</w:t>
            </w:r>
            <w:r w:rsidRPr="00831AD6">
              <w:rPr>
                <w:rFonts w:ascii="Courier New" w:hAnsi="Courier New"/>
                <w:noProof/>
                <w:sz w:val="16"/>
                <w:lang w:eastAsia="en-GB"/>
              </w:rPr>
              <w:t xml:space="preserve"> </w:t>
            </w:r>
            <w:r w:rsidRPr="00831AD6">
              <w:rPr>
                <w:rFonts w:ascii="Courier New" w:hAnsi="Courier New"/>
                <w:noProof/>
                <w:color w:val="993366"/>
                <w:sz w:val="16"/>
                <w:lang w:eastAsia="en-GB"/>
              </w:rPr>
              <w:t>STRING</w:t>
            </w:r>
          </w:p>
          <w:p w14:paraId="26644358" w14:textId="77777777" w:rsidR="00831AD6" w:rsidRPr="00831AD6" w:rsidRDefault="00831AD6" w:rsidP="00831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784A07" w14:textId="77777777" w:rsidR="00831AD6" w:rsidRPr="00831AD6" w:rsidRDefault="00831AD6" w:rsidP="00831A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1AD6">
              <w:rPr>
                <w:rFonts w:ascii="Courier New" w:hAnsi="Courier New"/>
                <w:noProof/>
                <w:color w:val="808080"/>
                <w:sz w:val="16"/>
                <w:lang w:eastAsia="en-GB"/>
              </w:rPr>
              <w:t>-- TAG-REFERENCELOCATION-STOP</w:t>
            </w:r>
          </w:p>
          <w:p w14:paraId="41538AC9" w14:textId="410DB82D" w:rsidR="00831AD6" w:rsidRPr="00466285" w:rsidRDefault="00831AD6" w:rsidP="004662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31AD6">
              <w:rPr>
                <w:rFonts w:ascii="Courier New" w:hAnsi="Courier New"/>
                <w:noProof/>
                <w:color w:val="808080"/>
                <w:sz w:val="16"/>
                <w:lang w:eastAsia="en-GB"/>
              </w:rPr>
              <w:t>-- ASN1STOP</w:t>
            </w:r>
            <w:r w:rsidR="00466285">
              <w:rPr>
                <w:rFonts w:ascii="Courier New" w:hAnsi="Courier New"/>
                <w:noProof/>
                <w:color w:val="808080"/>
                <w:sz w:val="16"/>
                <w:lang w:eastAsia="en-GB"/>
              </w:rPr>
              <w:br/>
            </w:r>
          </w:p>
        </w:tc>
      </w:tr>
    </w:tbl>
    <w:p w14:paraId="16DEE9E2" w14:textId="48799044" w:rsidR="00831AD6" w:rsidRPr="00A30E86" w:rsidRDefault="00166A0C" w:rsidP="00BF6341">
      <w:pPr>
        <w:jc w:val="both"/>
      </w:pPr>
      <w:r>
        <w:rPr>
          <w:i/>
          <w:iCs/>
        </w:rPr>
        <w:br/>
      </w:r>
      <w:r w:rsidR="00831AD6" w:rsidRPr="00A30E86">
        <w:rPr>
          <w:i/>
          <w:iCs/>
        </w:rPr>
        <w:t xml:space="preserve">distanceThresh </w:t>
      </w:r>
      <w:r w:rsidR="00831AD6" w:rsidRPr="00A30E86">
        <w:t>can represent almost 2^16 values (almost, as it range is up to 65525, while the intention was</w:t>
      </w:r>
      <w:r w:rsidR="003D0051">
        <w:t xml:space="preserve"> likely</w:t>
      </w:r>
      <w:r w:rsidR="00831AD6" w:rsidRPr="00A30E86">
        <w:t xml:space="preserve"> to reflect 65536).</w:t>
      </w:r>
      <w:r w:rsidR="0057750C" w:rsidRPr="00A30E86">
        <w:t xml:space="preserve"> Each step represents 50 metres, so the maximum distance that can be</w:t>
      </w:r>
      <w:r w:rsidR="00411AC9">
        <w:t xml:space="preserve"> reflected is equal to 3276 kilometres.</w:t>
      </w:r>
      <w:r>
        <w:t xml:space="preserve"> A way more than we have proposed in our previous paper</w:t>
      </w:r>
      <w:r w:rsidR="003D0051">
        <w:t xml:space="preserve"> </w:t>
      </w:r>
      <w:r w:rsidR="003D0051">
        <w:fldChar w:fldCharType="begin"/>
      </w:r>
      <w:r w:rsidR="003D0051">
        <w:instrText xml:space="preserve"> REF _Ref134110017 \r \h </w:instrText>
      </w:r>
      <w:r w:rsidR="00CC25DD">
        <w:instrText xml:space="preserve"> \* MERGEFORMAT </w:instrText>
      </w:r>
      <w:r w:rsidR="003D0051">
        <w:fldChar w:fldCharType="separate"/>
      </w:r>
      <w:r w:rsidR="003D0051">
        <w:t>[3]</w:t>
      </w:r>
      <w:r w:rsidR="003D0051">
        <w:fldChar w:fldCharType="end"/>
      </w:r>
      <w:r>
        <w:t xml:space="preserve">. </w:t>
      </w:r>
      <w:r w:rsidR="00166580">
        <w:t xml:space="preserve">With this range of </w:t>
      </w:r>
      <w:r w:rsidR="00166580" w:rsidRPr="00166580">
        <w:rPr>
          <w:i/>
          <w:iCs/>
        </w:rPr>
        <w:t>distanceThresh</w:t>
      </w:r>
      <w:r w:rsidR="00166580">
        <w:t xml:space="preserve">, a single TN coverage area could approximately cover e.g. the entire North America. </w:t>
      </w:r>
    </w:p>
    <w:p w14:paraId="0320DE42" w14:textId="443077DE" w:rsidR="00B46B80" w:rsidRDefault="0057750C" w:rsidP="009339CB">
      <w:pPr>
        <w:rPr>
          <w:b/>
          <w:bCs/>
        </w:rPr>
      </w:pPr>
      <w:r w:rsidRPr="00166A0C">
        <w:rPr>
          <w:b/>
          <w:bCs/>
        </w:rPr>
        <w:t xml:space="preserve">Observation 1: </w:t>
      </w:r>
      <w:r w:rsidR="00166A0C">
        <w:rPr>
          <w:b/>
          <w:bCs/>
        </w:rPr>
        <w:t xml:space="preserve">Reusing the Rel-17 </w:t>
      </w:r>
      <w:r w:rsidR="00166A0C" w:rsidRPr="00166A0C">
        <w:rPr>
          <w:b/>
          <w:bCs/>
          <w:i/>
          <w:iCs/>
        </w:rPr>
        <w:t>referenceLocation</w:t>
      </w:r>
      <w:r w:rsidR="00166A0C" w:rsidRPr="00166A0C">
        <w:rPr>
          <w:b/>
          <w:bCs/>
        </w:rPr>
        <w:t xml:space="preserve"> and </w:t>
      </w:r>
      <w:r w:rsidR="00166A0C" w:rsidRPr="00166A0C">
        <w:rPr>
          <w:b/>
          <w:bCs/>
          <w:i/>
          <w:iCs/>
        </w:rPr>
        <w:t>distanceThresh</w:t>
      </w:r>
      <w:r w:rsidR="00166A0C">
        <w:rPr>
          <w:b/>
          <w:bCs/>
        </w:rPr>
        <w:t xml:space="preserve"> will allow to signal a TN coverage area</w:t>
      </w:r>
      <w:r w:rsidR="00B46B80">
        <w:rPr>
          <w:b/>
          <w:bCs/>
        </w:rPr>
        <w:t xml:space="preserve"> having a diameter of</w:t>
      </w:r>
      <w:r w:rsidR="00166A0C">
        <w:rPr>
          <w:b/>
          <w:bCs/>
        </w:rPr>
        <w:t xml:space="preserve"> </w:t>
      </w:r>
      <w:r w:rsidR="00166580">
        <w:rPr>
          <w:b/>
          <w:bCs/>
        </w:rPr>
        <w:t>approximately</w:t>
      </w:r>
      <w:r w:rsidR="00B46B80">
        <w:rPr>
          <w:b/>
          <w:bCs/>
        </w:rPr>
        <w:t xml:space="preserve"> </w:t>
      </w:r>
      <w:r w:rsidR="00166A0C">
        <w:rPr>
          <w:b/>
          <w:bCs/>
        </w:rPr>
        <w:t>6</w:t>
      </w:r>
      <w:r w:rsidR="00B46B80">
        <w:rPr>
          <w:b/>
          <w:bCs/>
        </w:rPr>
        <w:t>5</w:t>
      </w:r>
      <w:r w:rsidR="00CC25DD">
        <w:rPr>
          <w:b/>
          <w:bCs/>
        </w:rPr>
        <w:t>00</w:t>
      </w:r>
      <w:r w:rsidR="00166580">
        <w:rPr>
          <w:b/>
          <w:bCs/>
        </w:rPr>
        <w:t xml:space="preserve"> of</w:t>
      </w:r>
      <w:r w:rsidR="00B46B80">
        <w:rPr>
          <w:b/>
          <w:bCs/>
        </w:rPr>
        <w:t xml:space="preserve"> kilometres.</w:t>
      </w:r>
    </w:p>
    <w:p w14:paraId="045656B9" w14:textId="50894AB0" w:rsidR="00B46B80" w:rsidRPr="00B46B80" w:rsidRDefault="00B46B80" w:rsidP="009339CB">
      <w:r w:rsidRPr="00B46B80">
        <w:t xml:space="preserve">It is fine to reuse Rel-17 </w:t>
      </w:r>
      <w:r w:rsidRPr="00166580">
        <w:rPr>
          <w:i/>
          <w:iCs/>
        </w:rPr>
        <w:t>referenceLocation</w:t>
      </w:r>
      <w:r w:rsidRPr="00B46B80">
        <w:t xml:space="preserve"> and </w:t>
      </w:r>
      <w:r w:rsidRPr="00166580">
        <w:rPr>
          <w:i/>
          <w:iCs/>
        </w:rPr>
        <w:t>distanceThresh</w:t>
      </w:r>
      <w:r w:rsidRPr="00B46B80">
        <w:t>, even though distanceThresh offers a range several times large</w:t>
      </w:r>
      <w:r w:rsidR="00166580">
        <w:t>r</w:t>
      </w:r>
      <w:r w:rsidRPr="00B46B80">
        <w:t xml:space="preserve"> than actually needed.</w:t>
      </w:r>
    </w:p>
    <w:p w14:paraId="310F934D" w14:textId="59042CC5" w:rsidR="00166580" w:rsidRPr="00166A0C" w:rsidRDefault="00B46B80" w:rsidP="009339CB">
      <w:pPr>
        <w:rPr>
          <w:b/>
          <w:bCs/>
        </w:rPr>
      </w:pPr>
      <w:r w:rsidRPr="00466285">
        <w:rPr>
          <w:b/>
          <w:bCs/>
        </w:rPr>
        <w:t xml:space="preserve">Proposal 1: </w:t>
      </w:r>
      <w:r w:rsidR="00166580" w:rsidRPr="00466285">
        <w:rPr>
          <w:b/>
          <w:bCs/>
        </w:rPr>
        <w:t>Reuse</w:t>
      </w:r>
      <w:r w:rsidR="00466285" w:rsidRPr="00466285">
        <w:rPr>
          <w:b/>
          <w:bCs/>
        </w:rPr>
        <w:t xml:space="preserve"> Rel-17</w:t>
      </w:r>
      <w:r w:rsidR="00166580" w:rsidRPr="00466285">
        <w:rPr>
          <w:b/>
          <w:bCs/>
        </w:rPr>
        <w:t xml:space="preserve"> </w:t>
      </w:r>
      <w:r w:rsidRPr="00466285">
        <w:rPr>
          <w:b/>
          <w:bCs/>
        </w:rPr>
        <w:t xml:space="preserve"> </w:t>
      </w:r>
      <w:r w:rsidR="00166580" w:rsidRPr="00466285">
        <w:rPr>
          <w:b/>
          <w:bCs/>
          <w:i/>
          <w:iCs/>
        </w:rPr>
        <w:t>referenceLocation</w:t>
      </w:r>
      <w:r w:rsidR="00166580" w:rsidRPr="00466285">
        <w:rPr>
          <w:b/>
          <w:bCs/>
        </w:rPr>
        <w:t xml:space="preserve"> and </w:t>
      </w:r>
      <w:r w:rsidR="00166580" w:rsidRPr="00466285">
        <w:rPr>
          <w:b/>
          <w:bCs/>
          <w:i/>
          <w:iCs/>
        </w:rPr>
        <w:t>distanceThresh</w:t>
      </w:r>
      <w:r w:rsidR="00466285" w:rsidRPr="00466285">
        <w:rPr>
          <w:b/>
          <w:bCs/>
        </w:rPr>
        <w:t xml:space="preserve"> for signaling the TN coverage area centre and radius.</w:t>
      </w:r>
    </w:p>
    <w:p w14:paraId="6327A5E6" w14:textId="155C10CA" w:rsidR="009339CB" w:rsidRPr="00A30E86" w:rsidRDefault="009339CB" w:rsidP="009339CB">
      <w:pPr>
        <w:pStyle w:val="Heading2"/>
      </w:pPr>
      <w:r w:rsidRPr="00A30E86">
        <w:t>2.2</w:t>
      </w:r>
      <w:r w:rsidRPr="00A30E86">
        <w:tab/>
        <w:t>H</w:t>
      </w:r>
      <w:r w:rsidR="00A30E86" w:rsidRPr="00A30E86">
        <w:t>ow to indicate frequency information</w:t>
      </w:r>
      <w:r w:rsidR="00B93FB9">
        <w:t xml:space="preserve"> for TN coverage</w:t>
      </w:r>
    </w:p>
    <w:p w14:paraId="1BC82ECA" w14:textId="4EBDC7CD" w:rsidR="009339CB" w:rsidRDefault="004E709D" w:rsidP="00BF6341">
      <w:pPr>
        <w:jc w:val="both"/>
      </w:pPr>
      <w:r>
        <w:t xml:space="preserve">As a part of offline [106] at RAN2#121bis </w:t>
      </w:r>
      <w:r>
        <w:fldChar w:fldCharType="begin"/>
      </w:r>
      <w:r>
        <w:instrText xml:space="preserve"> REF _Ref134109508 \r \h </w:instrText>
      </w:r>
      <w:r w:rsidR="00CC25DD">
        <w:instrText xml:space="preserve"> \* MERGEFORMAT </w:instrText>
      </w:r>
      <w:r>
        <w:fldChar w:fldCharType="separate"/>
      </w:r>
      <w:r>
        <w:t>[2]</w:t>
      </w:r>
      <w:r>
        <w:fldChar w:fldCharType="end"/>
      </w:r>
      <w:r>
        <w:t xml:space="preserve"> there has been a discussion on how to provide the associated frequency information </w:t>
      </w:r>
      <w:r w:rsidR="00E97647">
        <w:t xml:space="preserve">for each TN coverage area. Two approaches have been presented - </w:t>
      </w:r>
      <w:r w:rsidR="00E97647">
        <w:fldChar w:fldCharType="begin"/>
      </w:r>
      <w:r w:rsidR="00E97647">
        <w:instrText xml:space="preserve"> REF _Ref134171931 \r \h </w:instrText>
      </w:r>
      <w:r w:rsidR="00CC25DD">
        <w:instrText xml:space="preserve"> \* MERGEFORMAT </w:instrText>
      </w:r>
      <w:r w:rsidR="00E97647">
        <w:fldChar w:fldCharType="separate"/>
      </w:r>
      <w:r w:rsidR="00E97647">
        <w:t>[5]</w:t>
      </w:r>
      <w:r w:rsidR="00E97647">
        <w:fldChar w:fldCharType="end"/>
      </w:r>
      <w:r w:rsidR="00E97647">
        <w:t xml:space="preserve"> </w:t>
      </w:r>
      <w:r w:rsidR="00E97647" w:rsidRPr="00E97647">
        <w:t>suggest</w:t>
      </w:r>
      <w:r w:rsidR="00E97647">
        <w:t>ed</w:t>
      </w:r>
      <w:r w:rsidR="00E97647" w:rsidRPr="00E97647">
        <w:t xml:space="preserve"> to use a list of frequencies under each TN area informatio</w:t>
      </w:r>
      <w:r w:rsidR="00E97647">
        <w:t>n</w:t>
      </w:r>
      <w:r w:rsidR="0021196E">
        <w:t xml:space="preserve"> (Option 1)</w:t>
      </w:r>
      <w:r w:rsidR="00E97647" w:rsidRPr="00E97647">
        <w:t xml:space="preserve">. </w:t>
      </w:r>
      <w:r w:rsidR="00E97647">
        <w:fldChar w:fldCharType="begin"/>
      </w:r>
      <w:r w:rsidR="00E97647">
        <w:instrText xml:space="preserve"> REF _Ref134171951 \r \h </w:instrText>
      </w:r>
      <w:r w:rsidR="00CC25DD">
        <w:instrText xml:space="preserve"> \* MERGEFORMAT </w:instrText>
      </w:r>
      <w:r w:rsidR="00E97647">
        <w:fldChar w:fldCharType="separate"/>
      </w:r>
      <w:r w:rsidR="00E97647">
        <w:t>[6]</w:t>
      </w:r>
      <w:r w:rsidR="00E97647">
        <w:fldChar w:fldCharType="end"/>
      </w:r>
      <w:r w:rsidR="00E97647">
        <w:t xml:space="preserve"> </w:t>
      </w:r>
      <w:r w:rsidR="00E97647" w:rsidRPr="00E97647">
        <w:t>propose</w:t>
      </w:r>
      <w:r w:rsidR="00E97647">
        <w:t>d</w:t>
      </w:r>
      <w:r w:rsidR="00E97647" w:rsidRPr="00E97647">
        <w:t xml:space="preserve"> to introduce TN coverage area identity and then use th</w:t>
      </w:r>
      <w:r w:rsidR="00E97647">
        <w:t>e corresponding</w:t>
      </w:r>
      <w:r w:rsidR="00E97647" w:rsidRPr="00E97647">
        <w:t xml:space="preserve"> identifier in SIB</w:t>
      </w:r>
      <w:r w:rsidR="00C2432D">
        <w:t>4</w:t>
      </w:r>
      <w:r w:rsidR="00E97647" w:rsidRPr="00E97647">
        <w:t xml:space="preserve"> and SIB</w:t>
      </w:r>
      <w:r w:rsidR="00C2432D">
        <w:t>5</w:t>
      </w:r>
      <w:r w:rsidR="00E97647" w:rsidRPr="00E97647">
        <w:t xml:space="preserve"> for </w:t>
      </w:r>
      <w:r w:rsidR="00E97647">
        <w:t>each</w:t>
      </w:r>
      <w:r w:rsidR="00E97647" w:rsidRPr="00E97647">
        <w:t xml:space="preserve"> TN frequenc</w:t>
      </w:r>
      <w:r w:rsidR="00E97647">
        <w:t>y signalled there</w:t>
      </w:r>
      <w:r w:rsidR="0021196E">
        <w:t xml:space="preserve"> (Option 2)</w:t>
      </w:r>
      <w:r w:rsidR="00E97647">
        <w:t>.</w:t>
      </w:r>
      <w:r w:rsidR="00BD717B">
        <w:t xml:space="preserve"> There was a vast majority for supporting the approach presented in </w:t>
      </w:r>
      <w:r w:rsidR="00BD717B">
        <w:fldChar w:fldCharType="begin"/>
      </w:r>
      <w:r w:rsidR="00BD717B">
        <w:instrText xml:space="preserve"> REF _Ref134171931 \r \h </w:instrText>
      </w:r>
      <w:r w:rsidR="00CC25DD">
        <w:instrText xml:space="preserve"> \* MERGEFORMAT </w:instrText>
      </w:r>
      <w:r w:rsidR="00BD717B">
        <w:fldChar w:fldCharType="separate"/>
      </w:r>
      <w:r w:rsidR="00BD717B">
        <w:t>[5]</w:t>
      </w:r>
      <w:r w:rsidR="00BD717B">
        <w:fldChar w:fldCharType="end"/>
      </w:r>
      <w:r w:rsidR="00BD717B">
        <w:t xml:space="preserve">, but it was agreed to defer the final decision to RAN2#122. </w:t>
      </w:r>
      <w:r w:rsidR="00B93FAD">
        <w:t>When signaling the frequency directly within the TN coverage area list, it may occur that the same frequency information is repeated multiple times, under each of the TN coverage areas.</w:t>
      </w:r>
    </w:p>
    <w:p w14:paraId="084FE9FB" w14:textId="593A8E57" w:rsidR="00B93FAD" w:rsidRPr="00B93FAD" w:rsidRDefault="00B93FAD" w:rsidP="00BF6341">
      <w:pPr>
        <w:jc w:val="both"/>
        <w:rPr>
          <w:b/>
          <w:bCs/>
        </w:rPr>
      </w:pPr>
      <w:r w:rsidRPr="00B93FAD">
        <w:rPr>
          <w:b/>
          <w:bCs/>
        </w:rPr>
        <w:t xml:space="preserve">Observation 2: If the frequency is signalled directly within the TN coverage area list, it may occur the same frequency information is repeated multiple times, under </w:t>
      </w:r>
      <w:r w:rsidR="00626151">
        <w:rPr>
          <w:b/>
          <w:bCs/>
        </w:rPr>
        <w:t>different</w:t>
      </w:r>
      <w:r w:rsidRPr="00B93FAD">
        <w:rPr>
          <w:b/>
          <w:bCs/>
        </w:rPr>
        <w:t xml:space="preserve"> TN coverage areas.</w:t>
      </w:r>
    </w:p>
    <w:p w14:paraId="0FD36AE0" w14:textId="33EB8A47" w:rsidR="00C63D0A" w:rsidRDefault="000E496B" w:rsidP="00BF6341">
      <w:pPr>
        <w:jc w:val="both"/>
      </w:pPr>
      <w:r>
        <w:t xml:space="preserve">It needs to be decided what kind of frequency-related information is essential for </w:t>
      </w:r>
      <w:r w:rsidR="0037394F">
        <w:t>each TN coverage area. If a list o</w:t>
      </w:r>
      <w:r w:rsidR="00947207">
        <w:t xml:space="preserve">f </w:t>
      </w:r>
      <w:r w:rsidR="00947207" w:rsidRPr="00695A65">
        <w:rPr>
          <w:i/>
          <w:iCs/>
        </w:rPr>
        <w:t>ARFCN-ValueNR</w:t>
      </w:r>
      <w:r w:rsidR="00947207">
        <w:t xml:space="preserve"> values needs to be signaled and each </w:t>
      </w:r>
      <w:r w:rsidR="00947207" w:rsidRPr="00695A65">
        <w:rPr>
          <w:i/>
          <w:iCs/>
        </w:rPr>
        <w:t>ARFCN-ValueNR</w:t>
      </w:r>
      <w:r w:rsidR="00947207">
        <w:t xml:space="preserve"> can consume</w:t>
      </w:r>
      <w:r w:rsidR="00FE6081">
        <w:t xml:space="preserve"> up to 22 </w:t>
      </w:r>
      <w:proofErr w:type="gramStart"/>
      <w:r w:rsidR="00FE6081">
        <w:t>bits</w:t>
      </w:r>
      <w:proofErr w:type="gramEnd"/>
      <w:r w:rsidR="00FE6081">
        <w:t xml:space="preserve"> then 8 </w:t>
      </w:r>
      <w:r w:rsidR="00FE6081" w:rsidRPr="00695A65">
        <w:rPr>
          <w:i/>
          <w:iCs/>
        </w:rPr>
        <w:t>ARFCN-ValueNR</w:t>
      </w:r>
      <w:r w:rsidR="00695A65">
        <w:t>s</w:t>
      </w:r>
      <w:r w:rsidR="00FE6081">
        <w:t xml:space="preserve"> per TN coverage area result in </w:t>
      </w:r>
      <w:r w:rsidR="002A3549">
        <w:t xml:space="preserve">176 bits. This should be further multiplied by the </w:t>
      </w:r>
      <w:r w:rsidR="000548C1">
        <w:t>number of TN coverage areas</w:t>
      </w:r>
      <w:r w:rsidR="00695A65">
        <w:t xml:space="preserve"> per system information</w:t>
      </w:r>
      <w:r w:rsidR="000548C1">
        <w:t>. If we assume up to 8 can be broadcast,</w:t>
      </w:r>
      <w:r w:rsidR="00386ACE">
        <w:t xml:space="preserve"> we have 1408 bits (</w:t>
      </w:r>
      <w:r w:rsidR="00C63D0A">
        <w:t xml:space="preserve">i.e. up to </w:t>
      </w:r>
      <w:r w:rsidR="00DE5CAE">
        <w:t xml:space="preserve">176 bytes) for TN coverage area frequency information. It may not be a problematic number if a new SIB for Rel-18 NTN purposes is defined. On the other hand, it is </w:t>
      </w:r>
      <w:r w:rsidR="008B3859">
        <w:t xml:space="preserve">a valid point (as argued in </w:t>
      </w:r>
      <w:r w:rsidR="008B3859">
        <w:fldChar w:fldCharType="begin"/>
      </w:r>
      <w:r w:rsidR="008B3859">
        <w:instrText xml:space="preserve"> REF _Ref134171951 \r \h </w:instrText>
      </w:r>
      <w:r w:rsidR="00CC25DD">
        <w:instrText xml:space="preserve"> \* MERGEFORMAT </w:instrText>
      </w:r>
      <w:r w:rsidR="008B3859">
        <w:fldChar w:fldCharType="separate"/>
      </w:r>
      <w:r w:rsidR="008B3859">
        <w:t>[6]</w:t>
      </w:r>
      <w:r w:rsidR="008B3859">
        <w:fldChar w:fldCharType="end"/>
      </w:r>
      <w:r w:rsidR="008B3859">
        <w:t>) that this frequency information related to TN coverage is already broadcast somewhere else (e.g. SIB4 or SIB5).</w:t>
      </w:r>
    </w:p>
    <w:p w14:paraId="0E59DA09" w14:textId="0301E5FA" w:rsidR="00B93FAD" w:rsidRPr="00626151" w:rsidRDefault="00C63D0A" w:rsidP="00BF6341">
      <w:pPr>
        <w:jc w:val="both"/>
        <w:rPr>
          <w:b/>
          <w:bCs/>
        </w:rPr>
      </w:pPr>
      <w:r w:rsidRPr="00626151">
        <w:rPr>
          <w:b/>
          <w:bCs/>
        </w:rPr>
        <w:t xml:space="preserve">Observation 3: </w:t>
      </w:r>
      <w:r w:rsidR="00A96606" w:rsidRPr="00626151">
        <w:rPr>
          <w:b/>
          <w:bCs/>
        </w:rPr>
        <w:t xml:space="preserve">Signaling up to 8 ARFCNs per TN coverage area and up to 8 TN coverage areas per system information </w:t>
      </w:r>
      <w:r w:rsidR="00626151" w:rsidRPr="00626151">
        <w:rPr>
          <w:b/>
          <w:bCs/>
        </w:rPr>
        <w:t xml:space="preserve">requires up to 1400 bits. </w:t>
      </w:r>
    </w:p>
    <w:p w14:paraId="093E4544" w14:textId="2FFF4C56" w:rsidR="00626151" w:rsidRPr="00C7743E" w:rsidRDefault="00626151" w:rsidP="00BF6341">
      <w:pPr>
        <w:jc w:val="both"/>
        <w:rPr>
          <w:b/>
          <w:bCs/>
        </w:rPr>
      </w:pPr>
      <w:r w:rsidRPr="00C7743E">
        <w:rPr>
          <w:b/>
          <w:bCs/>
        </w:rPr>
        <w:t xml:space="preserve">Observation 4: </w:t>
      </w:r>
      <w:r w:rsidR="00C7743E" w:rsidRPr="00C7743E">
        <w:rPr>
          <w:b/>
          <w:bCs/>
        </w:rPr>
        <w:t>The frequency information related to TN coverage is already broadcast somewhere else (e.g. SIB4 or SIB5).</w:t>
      </w:r>
    </w:p>
    <w:p w14:paraId="192FE433" w14:textId="6AA13944" w:rsidR="00626151" w:rsidRDefault="00C7743E" w:rsidP="00BF6341">
      <w:pPr>
        <w:jc w:val="both"/>
      </w:pPr>
      <w:r>
        <w:t xml:space="preserve">On the other hand, </w:t>
      </w:r>
      <w:r w:rsidR="00350AB7">
        <w:t xml:space="preserve">following the approach supported in </w:t>
      </w:r>
      <w:r w:rsidR="00350AB7">
        <w:fldChar w:fldCharType="begin"/>
      </w:r>
      <w:r w:rsidR="00350AB7">
        <w:instrText xml:space="preserve"> REF _Ref134171951 \r \h </w:instrText>
      </w:r>
      <w:r w:rsidR="00CC25DD">
        <w:instrText xml:space="preserve"> \* MERGEFORMAT </w:instrText>
      </w:r>
      <w:r w:rsidR="00350AB7">
        <w:fldChar w:fldCharType="separate"/>
      </w:r>
      <w:r w:rsidR="00350AB7">
        <w:t>[6]</w:t>
      </w:r>
      <w:r w:rsidR="00350AB7">
        <w:fldChar w:fldCharType="end"/>
      </w:r>
      <w:r w:rsidR="00350AB7">
        <w:t xml:space="preserve"> will require from the UE to read multiple SIBs in order to obtain the complete information on TN coverage areas. From that perspective, the approach suggested in </w:t>
      </w:r>
      <w:r w:rsidR="00350AB7">
        <w:fldChar w:fldCharType="begin"/>
      </w:r>
      <w:r w:rsidR="00350AB7">
        <w:instrText xml:space="preserve"> REF _Ref134171931 \r \h </w:instrText>
      </w:r>
      <w:r w:rsidR="00CC25DD">
        <w:instrText xml:space="preserve"> \* MERGEFORMAT </w:instrText>
      </w:r>
      <w:r w:rsidR="00350AB7">
        <w:fldChar w:fldCharType="separate"/>
      </w:r>
      <w:r w:rsidR="00350AB7">
        <w:t>[5]</w:t>
      </w:r>
      <w:r w:rsidR="00350AB7">
        <w:fldChar w:fldCharType="end"/>
      </w:r>
      <w:r w:rsidR="00350AB7">
        <w:t xml:space="preserve"> is simpler as the UE receives all needed information directly from a single system information block (SIB). </w:t>
      </w:r>
    </w:p>
    <w:p w14:paraId="703AFC30" w14:textId="6ED66FAC" w:rsidR="00350AB7" w:rsidRPr="003D5CB6" w:rsidRDefault="00C1035B" w:rsidP="00BF6341">
      <w:pPr>
        <w:jc w:val="both"/>
        <w:rPr>
          <w:b/>
          <w:bCs/>
        </w:rPr>
      </w:pPr>
      <w:r w:rsidRPr="003D5CB6">
        <w:rPr>
          <w:b/>
          <w:bCs/>
        </w:rPr>
        <w:t xml:space="preserve">Observation 5: </w:t>
      </w:r>
      <w:r w:rsidR="003D5CB6" w:rsidRPr="003D5CB6">
        <w:rPr>
          <w:b/>
          <w:bCs/>
        </w:rPr>
        <w:t>If the approach with TN coverage ID in SIB</w:t>
      </w:r>
      <w:r w:rsidR="00C2432D">
        <w:rPr>
          <w:b/>
          <w:bCs/>
        </w:rPr>
        <w:t>4</w:t>
      </w:r>
      <w:r w:rsidR="003D5CB6" w:rsidRPr="003D5CB6">
        <w:rPr>
          <w:b/>
          <w:bCs/>
        </w:rPr>
        <w:t>-5 is used, then the UE needs to read multiple SIBs in order to obtain the complete information on TN coverage areas.</w:t>
      </w:r>
    </w:p>
    <w:p w14:paraId="1FE9F5B8" w14:textId="461EDE43" w:rsidR="003D5CB6" w:rsidRDefault="003D5CB6" w:rsidP="00BF6341">
      <w:pPr>
        <w:jc w:val="both"/>
      </w:pPr>
      <w:r>
        <w:t xml:space="preserve">Considering all that have been said above, we believe approach presented in </w:t>
      </w:r>
      <w:r>
        <w:fldChar w:fldCharType="begin"/>
      </w:r>
      <w:r>
        <w:instrText xml:space="preserve"> REF _Ref134171951 \r \h </w:instrText>
      </w:r>
      <w:r w:rsidR="00CC25DD">
        <w:instrText xml:space="preserve"> \* MERGEFORMAT </w:instrText>
      </w:r>
      <w:r>
        <w:fldChar w:fldCharType="separate"/>
      </w:r>
      <w:r>
        <w:t>[6]</w:t>
      </w:r>
      <w:r>
        <w:fldChar w:fldCharType="end"/>
      </w:r>
      <w:r>
        <w:t xml:space="preserve"> is a better choice, mainly due to the signalling reduction overhead. </w:t>
      </w:r>
    </w:p>
    <w:p w14:paraId="7E1B55FB" w14:textId="58A34586" w:rsidR="00A30E86" w:rsidRPr="00CB6A94" w:rsidRDefault="003D5CB6" w:rsidP="00BF6341">
      <w:pPr>
        <w:jc w:val="both"/>
        <w:rPr>
          <w:b/>
          <w:bCs/>
        </w:rPr>
      </w:pPr>
      <w:r w:rsidRPr="00CB6A94">
        <w:rPr>
          <w:b/>
          <w:bCs/>
        </w:rPr>
        <w:t xml:space="preserve">Proposal 2: </w:t>
      </w:r>
      <w:r w:rsidR="007E18E1" w:rsidRPr="00CB6A94">
        <w:rPr>
          <w:b/>
          <w:bCs/>
        </w:rPr>
        <w:t>The frequency information for TN coverage area</w:t>
      </w:r>
      <w:r w:rsidR="00C2432D" w:rsidRPr="00CB6A94">
        <w:rPr>
          <w:b/>
          <w:bCs/>
        </w:rPr>
        <w:t xml:space="preserve"> is </w:t>
      </w:r>
      <w:r w:rsidR="00CB6A94" w:rsidRPr="00CB6A94">
        <w:rPr>
          <w:b/>
          <w:bCs/>
        </w:rPr>
        <w:t>indicated</w:t>
      </w:r>
      <w:r w:rsidR="00C2432D" w:rsidRPr="00CB6A94">
        <w:rPr>
          <w:b/>
          <w:bCs/>
        </w:rPr>
        <w:t xml:space="preserve"> using </w:t>
      </w:r>
      <w:r w:rsidR="00C2432D" w:rsidRPr="00CB6A94">
        <w:rPr>
          <w:b/>
          <w:bCs/>
          <w:lang w:eastAsia="ko-KR"/>
        </w:rPr>
        <w:t>TN coverage area identity in in SIB4 and SIB5</w:t>
      </w:r>
      <w:r w:rsidR="00CB6A94" w:rsidRPr="00CB6A94">
        <w:rPr>
          <w:b/>
          <w:bCs/>
          <w:lang w:eastAsia="ko-KR"/>
        </w:rPr>
        <w:t>.</w:t>
      </w:r>
    </w:p>
    <w:p w14:paraId="79BE6F8C" w14:textId="14B575B3" w:rsidR="00A30E86" w:rsidRDefault="00A30E86">
      <w:pPr>
        <w:pStyle w:val="Heading2"/>
      </w:pPr>
      <w:r>
        <w:t>2.3</w:t>
      </w:r>
      <w:r>
        <w:tab/>
        <w:t>Signaling other than broadcast</w:t>
      </w:r>
    </w:p>
    <w:p w14:paraId="2BB975A9" w14:textId="3FC545EC" w:rsidR="00FC314D" w:rsidRDefault="00FC314D" w:rsidP="00BF6341">
      <w:pPr>
        <w:jc w:val="both"/>
      </w:pPr>
      <w:r>
        <w:t xml:space="preserve">The decision whether any form of dedicated signaling is supported, in addition to already agreed broadcast, has been postponed. </w:t>
      </w:r>
      <w:r w:rsidR="007B1700">
        <w:t xml:space="preserve">Not much has changed since the previous meeting (not only due to extremely short gap between those meetings), so we would like to reiterate what has been stated already in </w:t>
      </w:r>
      <w:r w:rsidR="007B1700">
        <w:fldChar w:fldCharType="begin"/>
      </w:r>
      <w:r w:rsidR="007B1700">
        <w:instrText xml:space="preserve"> REF _Ref134110017 \r \h </w:instrText>
      </w:r>
      <w:r w:rsidR="00CC25DD">
        <w:instrText xml:space="preserve"> \* MERGEFORMAT </w:instrText>
      </w:r>
      <w:r w:rsidR="007B1700">
        <w:fldChar w:fldCharType="separate"/>
      </w:r>
      <w:r w:rsidR="007B1700">
        <w:t>[3]</w:t>
      </w:r>
      <w:r w:rsidR="007B1700">
        <w:fldChar w:fldCharType="end"/>
      </w:r>
      <w:r w:rsidR="007B1700">
        <w:t>: d</w:t>
      </w:r>
      <w:r w:rsidR="007B1700" w:rsidRPr="007B1700">
        <w:t>edicated signalling, if understood as RRC dedicated signalling, requires the UE to be in RRC_CONNECTED mode, while the whole objective on TN-NTN reselections is to address the issues encountered by RRC_IDLE mode UEs. Obviously, there are means to configure the UE with certain information when it moves from RRC_IDLE to RRC_CONNECTED (e.g. in RRC Release message), but we also see no point why this information would have to be UE specific. After all, TN coverage is something which is fixed and unchanged. It is actually the same for all the UEs within certain area.</w:t>
      </w:r>
    </w:p>
    <w:p w14:paraId="6A6B8F73" w14:textId="77777777" w:rsidR="00EF2F09" w:rsidRPr="00767D3E" w:rsidRDefault="00EF2F09" w:rsidP="00CC25DD">
      <w:pPr>
        <w:jc w:val="both"/>
        <w:rPr>
          <w:b/>
          <w:bCs/>
        </w:rPr>
      </w:pPr>
      <w:r w:rsidRPr="00767D3E">
        <w:rPr>
          <w:b/>
          <w:bCs/>
        </w:rPr>
        <w:t>Observation 6: TN coverage area is a static type of information; it does not change, and it is the same for all UEs within certain area.</w:t>
      </w:r>
    </w:p>
    <w:p w14:paraId="3B6B179A" w14:textId="77777777" w:rsidR="00EF2F09" w:rsidRPr="00767D3E" w:rsidRDefault="00EF2F09" w:rsidP="00CC25DD">
      <w:pPr>
        <w:jc w:val="both"/>
        <w:rPr>
          <w:b/>
          <w:bCs/>
        </w:rPr>
      </w:pPr>
      <w:r w:rsidRPr="00767D3E">
        <w:rPr>
          <w:b/>
          <w:bCs/>
        </w:rPr>
        <w:t xml:space="preserve">Observation 7: Dedicated RRC signalling is not available to RRC_IDLE UEs. RRC Release is the only </w:t>
      </w:r>
      <w:r>
        <w:rPr>
          <w:b/>
          <w:bCs/>
        </w:rPr>
        <w:t xml:space="preserve">RRC-based </w:t>
      </w:r>
      <w:r w:rsidRPr="00767D3E">
        <w:rPr>
          <w:b/>
          <w:bCs/>
        </w:rPr>
        <w:t>dedicated way to configure TN coverage information to UEs going to RRC_IDLE.</w:t>
      </w:r>
    </w:p>
    <w:p w14:paraId="16754D35" w14:textId="77777777" w:rsidR="00EF2F09" w:rsidRDefault="00EF2F09" w:rsidP="00CC25DD">
      <w:pPr>
        <w:jc w:val="both"/>
      </w:pPr>
      <w:r>
        <w:t>Based on the brief analysis presented above, we propose the following:</w:t>
      </w:r>
    </w:p>
    <w:p w14:paraId="2D1FB110" w14:textId="77777777" w:rsidR="00EF2F09" w:rsidRDefault="00EF2F09" w:rsidP="00CC25DD">
      <w:pPr>
        <w:jc w:val="both"/>
        <w:rPr>
          <w:b/>
          <w:bCs/>
        </w:rPr>
      </w:pPr>
      <w:r w:rsidRPr="09782B23">
        <w:rPr>
          <w:b/>
          <w:bCs/>
        </w:rPr>
        <w:t>Proposal 3: TN coverage area information is provided only using broadcast-type of signalling.</w:t>
      </w:r>
    </w:p>
    <w:p w14:paraId="33D87F3E" w14:textId="77777777" w:rsidR="00EF2F09" w:rsidRPr="00767D3E" w:rsidRDefault="00EF2F09" w:rsidP="00CC25DD">
      <w:pPr>
        <w:jc w:val="both"/>
        <w:rPr>
          <w:b/>
          <w:bCs/>
        </w:rPr>
      </w:pPr>
      <w:r>
        <w:rPr>
          <w:b/>
          <w:bCs/>
        </w:rPr>
        <w:t>Proposal 4: There is no TN coverage information differentiation such as coarse information and accurate information.</w:t>
      </w:r>
    </w:p>
    <w:p w14:paraId="49EB12B6" w14:textId="3A5FD244" w:rsidR="00A66429" w:rsidRDefault="00A66429">
      <w:pPr>
        <w:pStyle w:val="Heading2"/>
      </w:pPr>
      <w:r>
        <w:t xml:space="preserve">2.4 </w:t>
      </w:r>
      <w:r>
        <w:tab/>
        <w:t>Which system information block to use</w:t>
      </w:r>
    </w:p>
    <w:p w14:paraId="74032D1D" w14:textId="34530C21" w:rsidR="00F22E46" w:rsidRDefault="003C646C" w:rsidP="00BF6341">
      <w:pPr>
        <w:jc w:val="both"/>
      </w:pPr>
      <w:r>
        <w:t>It was concluded at RAN2#121bis</w:t>
      </w:r>
      <w:r w:rsidR="00142DF9">
        <w:t xml:space="preserve"> </w:t>
      </w:r>
      <w:r w:rsidR="00142DF9">
        <w:fldChar w:fldCharType="begin"/>
      </w:r>
      <w:r w:rsidR="00142DF9">
        <w:instrText xml:space="preserve"> REF _Ref134109227 \r \h </w:instrText>
      </w:r>
      <w:r w:rsidR="006D57A6">
        <w:instrText xml:space="preserve"> \* MERGEFORMAT </w:instrText>
      </w:r>
      <w:r w:rsidR="00142DF9">
        <w:fldChar w:fldCharType="separate"/>
      </w:r>
      <w:r w:rsidR="00142DF9">
        <w:t>[1]</w:t>
      </w:r>
      <w:r w:rsidR="00142DF9">
        <w:fldChar w:fldCharType="end"/>
      </w:r>
      <w:r>
        <w:t xml:space="preserve"> that the decision which SIB to use shall come jointly with the decision </w:t>
      </w:r>
      <w:r w:rsidR="003A0FB0">
        <w:t xml:space="preserve">how to signal the TN coverage frequency information. </w:t>
      </w:r>
      <w:r w:rsidR="00D82E62">
        <w:t>If</w:t>
      </w:r>
      <w:r w:rsidR="00537D42">
        <w:t xml:space="preserve"> the option suggested by us in Proposal 2 is adopted, then the overhead due to TN coverage information signalling is not that excessive</w:t>
      </w:r>
      <w:r w:rsidR="00283FCA">
        <w:t xml:space="preserve"> (i.e. it is limited to area centre + radius, so 64 bits per TN coverage area, </w:t>
      </w:r>
      <w:r w:rsidR="00142DF9">
        <w:t>up to</w:t>
      </w:r>
      <w:r w:rsidR="00283FCA">
        <w:t xml:space="preserve"> 500 bits if</w:t>
      </w:r>
      <w:r w:rsidR="00142DF9">
        <w:t xml:space="preserve"> 8 TN coverage areas are signalled per SIB). In this scenario, it could be possible to insert this information into the existing SIB19. </w:t>
      </w:r>
      <w:r w:rsidR="00FF69DD">
        <w:t>However, if we follow the approach where the frequency information is provided directly within the list of TN coverage areas, then the bit consumption raises to 500 bits (location information) + 1400 bits (frequency information), following the assumptions we have made</w:t>
      </w:r>
      <w:r w:rsidR="00283FCA">
        <w:t xml:space="preserve"> </w:t>
      </w:r>
      <w:r w:rsidR="007C2585">
        <w:t>regarding the maximum number of frequencies per TN coverage area and the maximum number of TN coverage areas per SIB.</w:t>
      </w:r>
      <w:r w:rsidR="0021196E">
        <w:t xml:space="preserve"> Then using SIB19 does not seem to be feasible.</w:t>
      </w:r>
      <w:r w:rsidR="00FE2736">
        <w:t xml:space="preserve"> In any case, we think using a separate SIB (i.e. other than SIB19) may be a safer approach, also as it could allow to </w:t>
      </w:r>
      <w:r w:rsidR="00A50AB5">
        <w:t>apply different periodicity</w:t>
      </w:r>
      <w:r w:rsidR="00F22E46">
        <w:t xml:space="preserve"> for such SI broadcast. </w:t>
      </w:r>
    </w:p>
    <w:p w14:paraId="23F019CC" w14:textId="05998519" w:rsidR="00A66429" w:rsidRDefault="00F22E46" w:rsidP="00BF6341">
      <w:pPr>
        <w:jc w:val="both"/>
      </w:pPr>
      <w:r>
        <w:t>Observation 8: Using</w:t>
      </w:r>
      <w:r w:rsidR="0021196E">
        <w:t xml:space="preserve"> </w:t>
      </w:r>
      <w:r>
        <w:t>different SIB than SIB19 for signaling TN coverage area information could allow to apply different (i.e.</w:t>
      </w:r>
      <w:r w:rsidR="00CC574F">
        <w:t xml:space="preserve"> lower)</w:t>
      </w:r>
      <w:r>
        <w:t xml:space="preserve"> periodicity for such SI broadcast</w:t>
      </w:r>
      <w:r w:rsidR="00CC574F">
        <w:t>ing.</w:t>
      </w:r>
    </w:p>
    <w:p w14:paraId="2DB7EDF3" w14:textId="4CFFA5B2" w:rsidR="00CC574F" w:rsidRPr="005B3481" w:rsidRDefault="00CC574F" w:rsidP="00BF6341">
      <w:pPr>
        <w:jc w:val="both"/>
        <w:rPr>
          <w:b/>
          <w:bCs/>
        </w:rPr>
      </w:pPr>
      <w:r>
        <w:t>Thus, we suggest the following:</w:t>
      </w:r>
    </w:p>
    <w:p w14:paraId="1C3619AB" w14:textId="37423CF6" w:rsidR="00CC574F" w:rsidRPr="005B3481" w:rsidRDefault="00CC574F" w:rsidP="00A66429">
      <w:pPr>
        <w:rPr>
          <w:b/>
          <w:bCs/>
        </w:rPr>
      </w:pPr>
      <w:r w:rsidRPr="005B3481">
        <w:rPr>
          <w:b/>
          <w:bCs/>
        </w:rPr>
        <w:t xml:space="preserve">Proposal 5: </w:t>
      </w:r>
      <w:r w:rsidR="005B3481" w:rsidRPr="005B3481">
        <w:rPr>
          <w:b/>
          <w:bCs/>
          <w:lang w:eastAsia="zh-CN"/>
        </w:rPr>
        <w:t>TN coverage area list is sent in other SIB than SIB19.</w:t>
      </w:r>
    </w:p>
    <w:p w14:paraId="02F02A7C" w14:textId="46E23386" w:rsidR="00D7057B" w:rsidRDefault="00D7057B">
      <w:pPr>
        <w:pStyle w:val="Heading2"/>
      </w:pPr>
      <w:r>
        <w:t xml:space="preserve">2.5 </w:t>
      </w:r>
      <w:r>
        <w:tab/>
        <w:t>T</w:t>
      </w:r>
      <w:r w:rsidRPr="00D7057B">
        <w:t>rigger</w:t>
      </w:r>
      <w:r>
        <w:t xml:space="preserve"> for</w:t>
      </w:r>
      <w:r w:rsidRPr="00D7057B">
        <w:t xml:space="preserve"> reacquir</w:t>
      </w:r>
      <w:r>
        <w:t>ing</w:t>
      </w:r>
      <w:r w:rsidRPr="00D7057B">
        <w:t xml:space="preserve"> the TN coverage information</w:t>
      </w:r>
    </w:p>
    <w:p w14:paraId="29D2F4DB" w14:textId="22BDDC35" w:rsidR="00D7057B" w:rsidRDefault="00D7057B" w:rsidP="00D7057B">
      <w:r>
        <w:t xml:space="preserve">At RAN2#121bis </w:t>
      </w:r>
      <w:r w:rsidR="005A62DC">
        <w:t>a corresponding working assumption has been made:</w:t>
      </w:r>
    </w:p>
    <w:tbl>
      <w:tblPr>
        <w:tblStyle w:val="TableGrid"/>
        <w:tblW w:w="0" w:type="auto"/>
        <w:tblLook w:val="04A0" w:firstRow="1" w:lastRow="0" w:firstColumn="1" w:lastColumn="0" w:noHBand="0" w:noVBand="1"/>
      </w:tblPr>
      <w:tblGrid>
        <w:gridCol w:w="9631"/>
      </w:tblGrid>
      <w:tr w:rsidR="005A62DC" w14:paraId="76BAD542" w14:textId="77777777" w:rsidTr="005A62DC">
        <w:tc>
          <w:tcPr>
            <w:tcW w:w="9631" w:type="dxa"/>
          </w:tcPr>
          <w:p w14:paraId="47EF4EE2" w14:textId="77777777" w:rsidR="005A62DC" w:rsidRDefault="005A62DC" w:rsidP="005A62DC">
            <w:r>
              <w:t>Working assumption:</w:t>
            </w:r>
          </w:p>
          <w:p w14:paraId="47B14542" w14:textId="42B1FE81" w:rsidR="005A62DC" w:rsidRDefault="005A62DC" w:rsidP="005A62DC">
            <w:r>
              <w:t>1.</w:t>
            </w:r>
            <w:r>
              <w:tab/>
              <w:t>We do not introduce new triggers making the UE reacquire the TN coverage information from SI.</w:t>
            </w:r>
          </w:p>
        </w:tc>
      </w:tr>
    </w:tbl>
    <w:p w14:paraId="6CC7358C" w14:textId="4A035614" w:rsidR="00F21AA6" w:rsidRDefault="005A62DC" w:rsidP="00BF6341">
      <w:pPr>
        <w:jc w:val="both"/>
      </w:pPr>
      <w:r>
        <w:br/>
      </w:r>
      <w:r w:rsidR="00F21AA6">
        <w:t xml:space="preserve">It means the UE will reacquire the corresponding SIB only if it reselects to a new cell or when the next system information update of the SIB providing TN coverage information occurs. In our opinion it is </w:t>
      </w:r>
      <w:proofErr w:type="gramStart"/>
      <w:r w:rsidR="00F21AA6">
        <w:t>suff</w:t>
      </w:r>
      <w:r w:rsidR="00D072AC">
        <w:t>icient</w:t>
      </w:r>
      <w:proofErr w:type="gramEnd"/>
      <w:r w:rsidR="00D072AC">
        <w:t xml:space="preserve"> and no enhancements are needed in this area.</w:t>
      </w:r>
    </w:p>
    <w:p w14:paraId="1AAEAE64" w14:textId="65EB2DE0" w:rsidR="005A62DC" w:rsidRPr="00D072AC" w:rsidRDefault="00D072AC" w:rsidP="00BF6341">
      <w:pPr>
        <w:jc w:val="both"/>
        <w:rPr>
          <w:b/>
          <w:bCs/>
        </w:rPr>
      </w:pPr>
      <w:r w:rsidRPr="00D072AC">
        <w:rPr>
          <w:b/>
          <w:bCs/>
        </w:rPr>
        <w:t>Proposal 6: RAN2 confirms new triggers making the UE reacquire the TN coverage information from SI are not introduced.</w:t>
      </w:r>
    </w:p>
    <w:p w14:paraId="483D2E44" w14:textId="13E89C97" w:rsidR="009339CB" w:rsidRDefault="005A13AB" w:rsidP="00CA2BB9">
      <w:pPr>
        <w:pStyle w:val="Heading1"/>
      </w:pPr>
      <w:r>
        <w:t>3</w:t>
      </w:r>
      <w:r w:rsidR="009339CB" w:rsidRPr="006E13D1">
        <w:tab/>
      </w:r>
      <w:r w:rsidR="009339CB">
        <w:t>Conclusion</w:t>
      </w:r>
    </w:p>
    <w:p w14:paraId="6E24B0F4" w14:textId="070287F7" w:rsidR="009339CB" w:rsidRPr="006E13D1" w:rsidRDefault="0093441C" w:rsidP="009339CB">
      <w:r>
        <w:t>In t</w:t>
      </w:r>
      <w:r w:rsidR="009339CB">
        <w:t>his document</w:t>
      </w:r>
      <w:r>
        <w:t xml:space="preserve"> the following observations and proposals have been</w:t>
      </w:r>
      <w:r w:rsidR="009339CB">
        <w:t xml:space="preserve"> made:</w:t>
      </w:r>
    </w:p>
    <w:p w14:paraId="0F302222" w14:textId="705949C4" w:rsidR="00307BBC" w:rsidRDefault="00307BBC" w:rsidP="00307BBC">
      <w:pPr>
        <w:rPr>
          <w:b/>
          <w:bCs/>
        </w:rPr>
      </w:pPr>
      <w:r w:rsidRPr="00307BBC">
        <w:rPr>
          <w:b/>
          <w:bCs/>
        </w:rPr>
        <w:t xml:space="preserve"> </w:t>
      </w:r>
      <w:r w:rsidRPr="00166A0C">
        <w:rPr>
          <w:b/>
          <w:bCs/>
        </w:rPr>
        <w:t xml:space="preserve">Observation 1: </w:t>
      </w:r>
      <w:r>
        <w:rPr>
          <w:b/>
          <w:bCs/>
        </w:rPr>
        <w:t xml:space="preserve">Reusing the Rel-17 </w:t>
      </w:r>
      <w:r w:rsidRPr="00166A0C">
        <w:rPr>
          <w:b/>
          <w:bCs/>
          <w:i/>
          <w:iCs/>
        </w:rPr>
        <w:t>referenceLocation</w:t>
      </w:r>
      <w:r w:rsidRPr="00166A0C">
        <w:rPr>
          <w:b/>
          <w:bCs/>
        </w:rPr>
        <w:t xml:space="preserve"> and </w:t>
      </w:r>
      <w:r w:rsidRPr="00166A0C">
        <w:rPr>
          <w:b/>
          <w:bCs/>
          <w:i/>
          <w:iCs/>
        </w:rPr>
        <w:t>distanceThresh</w:t>
      </w:r>
      <w:r>
        <w:rPr>
          <w:b/>
          <w:bCs/>
        </w:rPr>
        <w:t xml:space="preserve"> will allow to signal a TN coverage area having a diameter of approximately 6500 of kilometres.</w:t>
      </w:r>
    </w:p>
    <w:p w14:paraId="1CFE1930" w14:textId="77777777" w:rsidR="00307BBC" w:rsidRPr="00166A0C" w:rsidRDefault="00307BBC" w:rsidP="00307BBC">
      <w:pPr>
        <w:rPr>
          <w:b/>
          <w:bCs/>
        </w:rPr>
      </w:pPr>
      <w:r w:rsidRPr="00466285">
        <w:rPr>
          <w:b/>
          <w:bCs/>
        </w:rPr>
        <w:t xml:space="preserve">Proposal 1: Reuse Rel-17  </w:t>
      </w:r>
      <w:r w:rsidRPr="00466285">
        <w:rPr>
          <w:b/>
          <w:bCs/>
          <w:i/>
          <w:iCs/>
        </w:rPr>
        <w:t>referenceLocation</w:t>
      </w:r>
      <w:r w:rsidRPr="00466285">
        <w:rPr>
          <w:b/>
          <w:bCs/>
        </w:rPr>
        <w:t xml:space="preserve"> and </w:t>
      </w:r>
      <w:r w:rsidRPr="00466285">
        <w:rPr>
          <w:b/>
          <w:bCs/>
          <w:i/>
          <w:iCs/>
        </w:rPr>
        <w:t>distanceThresh</w:t>
      </w:r>
      <w:r w:rsidRPr="00466285">
        <w:rPr>
          <w:b/>
          <w:bCs/>
        </w:rPr>
        <w:t xml:space="preserve"> for signaling the TN coverage area centre and radius.</w:t>
      </w:r>
    </w:p>
    <w:p w14:paraId="281F2F00" w14:textId="77777777" w:rsidR="00307BBC" w:rsidRPr="00B93FAD" w:rsidRDefault="00307BBC" w:rsidP="00307BBC">
      <w:pPr>
        <w:jc w:val="both"/>
        <w:rPr>
          <w:b/>
          <w:bCs/>
        </w:rPr>
      </w:pPr>
      <w:r w:rsidRPr="00B93FAD">
        <w:rPr>
          <w:b/>
          <w:bCs/>
        </w:rPr>
        <w:t xml:space="preserve">Observation 2: If the frequency is signalled directly within the TN coverage area list, it may occur the same frequency information is repeated multiple times, under </w:t>
      </w:r>
      <w:r>
        <w:rPr>
          <w:b/>
          <w:bCs/>
        </w:rPr>
        <w:t>different</w:t>
      </w:r>
      <w:r w:rsidRPr="00B93FAD">
        <w:rPr>
          <w:b/>
          <w:bCs/>
        </w:rPr>
        <w:t xml:space="preserve"> TN coverage areas.</w:t>
      </w:r>
    </w:p>
    <w:p w14:paraId="7D8FC04A" w14:textId="77777777" w:rsidR="00307BBC" w:rsidRPr="00626151" w:rsidRDefault="00307BBC" w:rsidP="00307BBC">
      <w:pPr>
        <w:jc w:val="both"/>
        <w:rPr>
          <w:b/>
          <w:bCs/>
        </w:rPr>
      </w:pPr>
      <w:r w:rsidRPr="00626151">
        <w:rPr>
          <w:b/>
          <w:bCs/>
        </w:rPr>
        <w:t xml:space="preserve">Observation 3: Signaling up to 8 ARFCNs per TN coverage area and up to 8 TN coverage areas per system information requires up to 1400 bits. </w:t>
      </w:r>
    </w:p>
    <w:p w14:paraId="0ED0C508" w14:textId="77777777" w:rsidR="00307BBC" w:rsidRPr="00C7743E" w:rsidRDefault="00307BBC" w:rsidP="00307BBC">
      <w:pPr>
        <w:jc w:val="both"/>
        <w:rPr>
          <w:b/>
          <w:bCs/>
        </w:rPr>
      </w:pPr>
      <w:r w:rsidRPr="00C7743E">
        <w:rPr>
          <w:b/>
          <w:bCs/>
        </w:rPr>
        <w:t>Observation 4: The frequency information related to TN coverage is already broadcast somewhere else (e.g. SIB4 or SIB5).</w:t>
      </w:r>
    </w:p>
    <w:p w14:paraId="4F3708AE" w14:textId="77777777" w:rsidR="00307BBC" w:rsidRPr="003D5CB6" w:rsidRDefault="00307BBC" w:rsidP="00307BBC">
      <w:pPr>
        <w:jc w:val="both"/>
        <w:rPr>
          <w:b/>
          <w:bCs/>
        </w:rPr>
      </w:pPr>
      <w:r w:rsidRPr="003D5CB6">
        <w:rPr>
          <w:b/>
          <w:bCs/>
        </w:rPr>
        <w:t>Observation 5: If the approach with TN coverage ID in SIB</w:t>
      </w:r>
      <w:r>
        <w:rPr>
          <w:b/>
          <w:bCs/>
        </w:rPr>
        <w:t>4</w:t>
      </w:r>
      <w:r w:rsidRPr="003D5CB6">
        <w:rPr>
          <w:b/>
          <w:bCs/>
        </w:rPr>
        <w:t>-5 is used, then the UE needs to read multiple SIBs in order to obtain the complete information on TN coverage areas.</w:t>
      </w:r>
    </w:p>
    <w:p w14:paraId="236E5D1B" w14:textId="77777777" w:rsidR="00307BBC" w:rsidRPr="00CB6A94" w:rsidRDefault="00307BBC" w:rsidP="00307BBC">
      <w:pPr>
        <w:jc w:val="both"/>
        <w:rPr>
          <w:b/>
          <w:bCs/>
        </w:rPr>
      </w:pPr>
      <w:r w:rsidRPr="00CB6A94">
        <w:rPr>
          <w:b/>
          <w:bCs/>
        </w:rPr>
        <w:t xml:space="preserve">Proposal 2: The frequency information for TN coverage area is indicated using </w:t>
      </w:r>
      <w:r w:rsidRPr="00CB6A94">
        <w:rPr>
          <w:b/>
          <w:bCs/>
          <w:lang w:eastAsia="ko-KR"/>
        </w:rPr>
        <w:t>TN coverage area identity in in SIB4 and SIB5.</w:t>
      </w:r>
    </w:p>
    <w:p w14:paraId="78F6F9BF" w14:textId="77777777" w:rsidR="00307BBC" w:rsidRPr="00767D3E" w:rsidRDefault="00307BBC" w:rsidP="00307BBC">
      <w:pPr>
        <w:jc w:val="both"/>
        <w:rPr>
          <w:b/>
          <w:bCs/>
        </w:rPr>
      </w:pPr>
      <w:r w:rsidRPr="00767D3E">
        <w:rPr>
          <w:b/>
          <w:bCs/>
        </w:rPr>
        <w:t>Observation 6: TN coverage area is a static type of information; it does not change, and it is the same for all UEs within certain area.</w:t>
      </w:r>
    </w:p>
    <w:p w14:paraId="35D81EB5" w14:textId="77777777" w:rsidR="00307BBC" w:rsidRPr="00767D3E" w:rsidRDefault="00307BBC" w:rsidP="00307BBC">
      <w:pPr>
        <w:jc w:val="both"/>
        <w:rPr>
          <w:b/>
          <w:bCs/>
        </w:rPr>
      </w:pPr>
      <w:r w:rsidRPr="00767D3E">
        <w:rPr>
          <w:b/>
          <w:bCs/>
        </w:rPr>
        <w:t xml:space="preserve">Observation 7: Dedicated RRC signalling is not available to RRC_IDLE UEs. RRC Release is the only </w:t>
      </w:r>
      <w:r>
        <w:rPr>
          <w:b/>
          <w:bCs/>
        </w:rPr>
        <w:t xml:space="preserve">RRC-based </w:t>
      </w:r>
      <w:r w:rsidRPr="00767D3E">
        <w:rPr>
          <w:b/>
          <w:bCs/>
        </w:rPr>
        <w:t>dedicated way to configure TN coverage information to UEs going to RRC_IDLE.</w:t>
      </w:r>
    </w:p>
    <w:p w14:paraId="6537B1FB" w14:textId="77777777" w:rsidR="00307BBC" w:rsidRDefault="00307BBC" w:rsidP="00307BBC">
      <w:pPr>
        <w:jc w:val="both"/>
        <w:rPr>
          <w:b/>
          <w:bCs/>
        </w:rPr>
      </w:pPr>
      <w:r w:rsidRPr="09782B23">
        <w:rPr>
          <w:b/>
          <w:bCs/>
        </w:rPr>
        <w:t>Proposal 3: TN coverage area information is provided only using broadcast-type of signalling.</w:t>
      </w:r>
    </w:p>
    <w:p w14:paraId="24B3E3F2" w14:textId="77777777" w:rsidR="00307BBC" w:rsidRPr="00767D3E" w:rsidRDefault="00307BBC" w:rsidP="00307BBC">
      <w:pPr>
        <w:jc w:val="both"/>
        <w:rPr>
          <w:b/>
          <w:bCs/>
        </w:rPr>
      </w:pPr>
      <w:r>
        <w:rPr>
          <w:b/>
          <w:bCs/>
        </w:rPr>
        <w:t>Proposal 4: There is no TN coverage information differentiation such as coarse information and accurate information.</w:t>
      </w:r>
    </w:p>
    <w:p w14:paraId="1B2D9E4B" w14:textId="77777777" w:rsidR="00307BBC" w:rsidRPr="005B3481" w:rsidRDefault="00307BBC" w:rsidP="00307BBC">
      <w:pPr>
        <w:rPr>
          <w:b/>
          <w:bCs/>
        </w:rPr>
      </w:pPr>
      <w:r w:rsidRPr="005B3481">
        <w:rPr>
          <w:b/>
          <w:bCs/>
        </w:rPr>
        <w:t xml:space="preserve">Proposal 5: </w:t>
      </w:r>
      <w:r w:rsidRPr="005B3481">
        <w:rPr>
          <w:b/>
          <w:bCs/>
          <w:lang w:eastAsia="zh-CN"/>
        </w:rPr>
        <w:t>TN coverage area list is sent in other SIB than SIB19.</w:t>
      </w:r>
    </w:p>
    <w:p w14:paraId="35F222F4" w14:textId="41BE88DB" w:rsidR="00080512" w:rsidRPr="00BF6341" w:rsidRDefault="00307BBC" w:rsidP="00BF6341">
      <w:pPr>
        <w:jc w:val="both"/>
        <w:rPr>
          <w:b/>
          <w:bCs/>
        </w:rPr>
      </w:pPr>
      <w:r w:rsidRPr="00D072AC">
        <w:rPr>
          <w:b/>
          <w:bCs/>
        </w:rPr>
        <w:t>Proposal 6: RAN2 confirms new triggers making the UE reacquire the TN coverage information from SI are not introduced.</w:t>
      </w:r>
    </w:p>
    <w:p w14:paraId="72DA59B6" w14:textId="53ABA65B" w:rsidR="00613050" w:rsidRDefault="00613050">
      <w:pPr>
        <w:pStyle w:val="Heading1"/>
      </w:pPr>
      <w:r>
        <w:t>References</w:t>
      </w:r>
    </w:p>
    <w:p w14:paraId="7B19C9B2" w14:textId="6EED2E92" w:rsidR="00613050" w:rsidRDefault="00E95056" w:rsidP="00E95056">
      <w:pPr>
        <w:pStyle w:val="ListParagraph"/>
        <w:numPr>
          <w:ilvl w:val="0"/>
          <w:numId w:val="8"/>
        </w:numPr>
      </w:pPr>
      <w:bookmarkStart w:id="0" w:name="_Ref134109227"/>
      <w:r>
        <w:t xml:space="preserve">R2-2304201 </w:t>
      </w:r>
      <w:r w:rsidRPr="00E95056">
        <w:rPr>
          <w:i/>
          <w:iCs/>
        </w:rPr>
        <w:t>Report from Break-out session on NR-NTN and IoT-NTN</w:t>
      </w:r>
      <w:r>
        <w:t xml:space="preserve"> 3GPP TSG-RAN WG2 Meeting #121bis-e Online, Apr 17th-26th, 2023</w:t>
      </w:r>
      <w:bookmarkEnd w:id="0"/>
    </w:p>
    <w:p w14:paraId="1C209AFE" w14:textId="15A04DCC" w:rsidR="009B331F" w:rsidRDefault="009B331F" w:rsidP="00E95056">
      <w:pPr>
        <w:pStyle w:val="ListParagraph"/>
        <w:numPr>
          <w:ilvl w:val="0"/>
          <w:numId w:val="8"/>
        </w:numPr>
      </w:pPr>
      <w:bookmarkStart w:id="1" w:name="_Ref134109508"/>
      <w:r>
        <w:t xml:space="preserve">R2-2304246 </w:t>
      </w:r>
      <w:r w:rsidRPr="009B331F">
        <w:rPr>
          <w:i/>
          <w:iCs/>
        </w:rPr>
        <w:t>Report from [AT121bis-e][106][NR NTN Enh] Signalling of TN coverage (Nokia)</w:t>
      </w:r>
      <w:r>
        <w:t xml:space="preserve"> 3GPP TSG-RAN WG2 Meeting #121bis-e Online, Apr 17th-26th, 2023</w:t>
      </w:r>
      <w:bookmarkEnd w:id="1"/>
    </w:p>
    <w:p w14:paraId="4B953EF6" w14:textId="6F6E6CD4" w:rsidR="00E95056" w:rsidRDefault="00E95056" w:rsidP="00E95056">
      <w:pPr>
        <w:pStyle w:val="ListParagraph"/>
        <w:numPr>
          <w:ilvl w:val="0"/>
          <w:numId w:val="8"/>
        </w:numPr>
      </w:pPr>
      <w:bookmarkStart w:id="2" w:name="_Ref134110017"/>
      <w:r w:rsidRPr="00E95056">
        <w:t>R2-2303168</w:t>
      </w:r>
      <w:r>
        <w:t xml:space="preserve"> </w:t>
      </w:r>
      <w:r w:rsidRPr="00E95056">
        <w:rPr>
          <w:i/>
          <w:iCs/>
        </w:rPr>
        <w:t>On TN Coverage Area Information - signaling, validity and definition aspects</w:t>
      </w:r>
      <w:r>
        <w:t xml:space="preserve"> 3GPP TSG-RAN WG2 Meeting #121bis-e Online, Apr 17th-26th, 2023</w:t>
      </w:r>
      <w:bookmarkEnd w:id="2"/>
    </w:p>
    <w:p w14:paraId="091E5A98" w14:textId="77777777" w:rsidR="0040552E" w:rsidRDefault="00801C6B" w:rsidP="00E95056">
      <w:pPr>
        <w:pStyle w:val="ListParagraph"/>
        <w:numPr>
          <w:ilvl w:val="0"/>
          <w:numId w:val="8"/>
        </w:numPr>
      </w:pPr>
      <w:bookmarkStart w:id="3" w:name="_Ref134110347"/>
      <w:r>
        <w:t>3GPP Technical Specification 38.331</w:t>
      </w:r>
      <w:bookmarkEnd w:id="3"/>
    </w:p>
    <w:p w14:paraId="6C8622BA" w14:textId="0180AF13" w:rsidR="0040552E" w:rsidRDefault="0040552E" w:rsidP="0040552E">
      <w:pPr>
        <w:pStyle w:val="ListParagraph"/>
        <w:numPr>
          <w:ilvl w:val="0"/>
          <w:numId w:val="8"/>
        </w:numPr>
        <w:spacing w:line="259" w:lineRule="auto"/>
        <w:jc w:val="both"/>
      </w:pPr>
      <w:bookmarkStart w:id="4" w:name="_Ref134171931"/>
      <w:r>
        <w:t>R2-2303100 Discussion on the NTN-TN cell reselection enhancements 3GPP TSG-RAN WG2 Meeting #121bis-e Elbonia, 17th – 26th of April 2023</w:t>
      </w:r>
      <w:bookmarkEnd w:id="4"/>
    </w:p>
    <w:p w14:paraId="7A520376" w14:textId="004C8C54" w:rsidR="00801C6B" w:rsidRPr="00613050" w:rsidRDefault="0040552E" w:rsidP="0040552E">
      <w:pPr>
        <w:pStyle w:val="ListParagraph"/>
        <w:numPr>
          <w:ilvl w:val="0"/>
          <w:numId w:val="8"/>
        </w:numPr>
        <w:spacing w:line="259" w:lineRule="auto"/>
        <w:jc w:val="both"/>
      </w:pPr>
      <w:bookmarkStart w:id="5" w:name="_Ref134171951"/>
      <w:r>
        <w:t>R2-2303037 TN cell coverage info and measurement relaxation 3GPP TSG-RAN WG2 Meeting #121bis-e Elbonia, 17th – 26th of April 2023</w:t>
      </w:r>
      <w:bookmarkEnd w:id="5"/>
      <w:r w:rsidR="00801C6B">
        <w:t xml:space="preserve"> </w:t>
      </w:r>
    </w:p>
    <w:sectPr w:rsidR="00801C6B" w:rsidRPr="0061305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A0322" w14:textId="77777777" w:rsidR="00321057" w:rsidRDefault="00321057">
      <w:r>
        <w:separator/>
      </w:r>
    </w:p>
  </w:endnote>
  <w:endnote w:type="continuationSeparator" w:id="0">
    <w:p w14:paraId="4822490F" w14:textId="77777777" w:rsidR="00321057" w:rsidRDefault="00321057">
      <w:r>
        <w:continuationSeparator/>
      </w:r>
    </w:p>
  </w:endnote>
  <w:endnote w:type="continuationNotice" w:id="1">
    <w:p w14:paraId="151AA594" w14:textId="77777777" w:rsidR="00321057" w:rsidRDefault="00321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24DC9" w14:textId="77777777" w:rsidR="00321057" w:rsidRDefault="00321057">
      <w:r>
        <w:separator/>
      </w:r>
    </w:p>
  </w:footnote>
  <w:footnote w:type="continuationSeparator" w:id="0">
    <w:p w14:paraId="5043EBBF" w14:textId="77777777" w:rsidR="00321057" w:rsidRDefault="00321057">
      <w:r>
        <w:continuationSeparator/>
      </w:r>
    </w:p>
  </w:footnote>
  <w:footnote w:type="continuationNotice" w:id="1">
    <w:p w14:paraId="20BB1190" w14:textId="77777777" w:rsidR="00321057" w:rsidRDefault="003210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692084"/>
    <w:multiLevelType w:val="multilevel"/>
    <w:tmpl w:val="206920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7614685"/>
    <w:multiLevelType w:val="hybridMultilevel"/>
    <w:tmpl w:val="2FA4F41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5"/>
  </w:num>
  <w:num w:numId="7" w16cid:durableId="1489399165">
    <w:abstractNumId w:val="6"/>
  </w:num>
  <w:num w:numId="8" w16cid:durableId="1027635694">
    <w:abstractNumId w:val="7"/>
  </w:num>
  <w:num w:numId="9" w16cid:durableId="17743525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20A1"/>
    <w:rsid w:val="000548C1"/>
    <w:rsid w:val="00065268"/>
    <w:rsid w:val="00073C9C"/>
    <w:rsid w:val="00076412"/>
    <w:rsid w:val="00080512"/>
    <w:rsid w:val="00090468"/>
    <w:rsid w:val="00094568"/>
    <w:rsid w:val="000A7CE0"/>
    <w:rsid w:val="000B7BCF"/>
    <w:rsid w:val="000C522B"/>
    <w:rsid w:val="000D58AB"/>
    <w:rsid w:val="000E496B"/>
    <w:rsid w:val="00112F1A"/>
    <w:rsid w:val="00142DF9"/>
    <w:rsid w:val="00145075"/>
    <w:rsid w:val="00166580"/>
    <w:rsid w:val="00166A0C"/>
    <w:rsid w:val="001741A0"/>
    <w:rsid w:val="00175FA0"/>
    <w:rsid w:val="00193A7A"/>
    <w:rsid w:val="00194CD0"/>
    <w:rsid w:val="001B49C9"/>
    <w:rsid w:val="001C23F4"/>
    <w:rsid w:val="001C4F79"/>
    <w:rsid w:val="001F168B"/>
    <w:rsid w:val="001F7831"/>
    <w:rsid w:val="00204045"/>
    <w:rsid w:val="0020712B"/>
    <w:rsid w:val="0021196E"/>
    <w:rsid w:val="002168EB"/>
    <w:rsid w:val="00216E33"/>
    <w:rsid w:val="0022606D"/>
    <w:rsid w:val="00231728"/>
    <w:rsid w:val="00244A05"/>
    <w:rsid w:val="00250404"/>
    <w:rsid w:val="00256B74"/>
    <w:rsid w:val="002610D8"/>
    <w:rsid w:val="002747EC"/>
    <w:rsid w:val="00283FCA"/>
    <w:rsid w:val="002855BF"/>
    <w:rsid w:val="002A3549"/>
    <w:rsid w:val="002B2988"/>
    <w:rsid w:val="002F0D22"/>
    <w:rsid w:val="00307BBC"/>
    <w:rsid w:val="00311B17"/>
    <w:rsid w:val="003172DC"/>
    <w:rsid w:val="00321057"/>
    <w:rsid w:val="00325AE3"/>
    <w:rsid w:val="00326069"/>
    <w:rsid w:val="00350AB7"/>
    <w:rsid w:val="0035462D"/>
    <w:rsid w:val="0036459E"/>
    <w:rsid w:val="00364B41"/>
    <w:rsid w:val="00372B0F"/>
    <w:rsid w:val="0037394F"/>
    <w:rsid w:val="00383096"/>
    <w:rsid w:val="00386ACE"/>
    <w:rsid w:val="0039346C"/>
    <w:rsid w:val="0039601B"/>
    <w:rsid w:val="003A0FB0"/>
    <w:rsid w:val="003A41EF"/>
    <w:rsid w:val="003B40AD"/>
    <w:rsid w:val="003C4E37"/>
    <w:rsid w:val="003C646C"/>
    <w:rsid w:val="003D0051"/>
    <w:rsid w:val="003D0FD0"/>
    <w:rsid w:val="003D5CB6"/>
    <w:rsid w:val="003E16BE"/>
    <w:rsid w:val="003F4E28"/>
    <w:rsid w:val="004006E8"/>
    <w:rsid w:val="00401855"/>
    <w:rsid w:val="00404E65"/>
    <w:rsid w:val="0040552E"/>
    <w:rsid w:val="00411AC9"/>
    <w:rsid w:val="00446B17"/>
    <w:rsid w:val="00446C3A"/>
    <w:rsid w:val="00452C07"/>
    <w:rsid w:val="00465587"/>
    <w:rsid w:val="00466285"/>
    <w:rsid w:val="00477455"/>
    <w:rsid w:val="004A1F7B"/>
    <w:rsid w:val="004C44D2"/>
    <w:rsid w:val="004C510A"/>
    <w:rsid w:val="004D3578"/>
    <w:rsid w:val="004D380D"/>
    <w:rsid w:val="004E213A"/>
    <w:rsid w:val="004E709D"/>
    <w:rsid w:val="004F4540"/>
    <w:rsid w:val="004F73A7"/>
    <w:rsid w:val="00503171"/>
    <w:rsid w:val="00506C28"/>
    <w:rsid w:val="00534DA0"/>
    <w:rsid w:val="00537809"/>
    <w:rsid w:val="00537D42"/>
    <w:rsid w:val="00543E6C"/>
    <w:rsid w:val="00565087"/>
    <w:rsid w:val="0056573F"/>
    <w:rsid w:val="00571279"/>
    <w:rsid w:val="0057750C"/>
    <w:rsid w:val="00580683"/>
    <w:rsid w:val="005A13AB"/>
    <w:rsid w:val="005A49C6"/>
    <w:rsid w:val="005A62DC"/>
    <w:rsid w:val="005B3481"/>
    <w:rsid w:val="005C1857"/>
    <w:rsid w:val="005C766E"/>
    <w:rsid w:val="005C7CD5"/>
    <w:rsid w:val="005E4297"/>
    <w:rsid w:val="00611566"/>
    <w:rsid w:val="00613050"/>
    <w:rsid w:val="00626151"/>
    <w:rsid w:val="00646D99"/>
    <w:rsid w:val="00656910"/>
    <w:rsid w:val="006574C0"/>
    <w:rsid w:val="00680039"/>
    <w:rsid w:val="00695A65"/>
    <w:rsid w:val="00696821"/>
    <w:rsid w:val="006C66D8"/>
    <w:rsid w:val="006D1E24"/>
    <w:rsid w:val="006D35DE"/>
    <w:rsid w:val="006D57A6"/>
    <w:rsid w:val="006E1057"/>
    <w:rsid w:val="006E1417"/>
    <w:rsid w:val="006F6A2C"/>
    <w:rsid w:val="00703CD5"/>
    <w:rsid w:val="007069DC"/>
    <w:rsid w:val="00710201"/>
    <w:rsid w:val="0072073A"/>
    <w:rsid w:val="007342B5"/>
    <w:rsid w:val="0073494C"/>
    <w:rsid w:val="00734A5B"/>
    <w:rsid w:val="007352FF"/>
    <w:rsid w:val="00744E76"/>
    <w:rsid w:val="00757D40"/>
    <w:rsid w:val="007662B5"/>
    <w:rsid w:val="00781F0F"/>
    <w:rsid w:val="0078727C"/>
    <w:rsid w:val="0079049D"/>
    <w:rsid w:val="00793DC5"/>
    <w:rsid w:val="00796823"/>
    <w:rsid w:val="007A2E55"/>
    <w:rsid w:val="007B1700"/>
    <w:rsid w:val="007B18D8"/>
    <w:rsid w:val="007C095F"/>
    <w:rsid w:val="007C2585"/>
    <w:rsid w:val="007C27C2"/>
    <w:rsid w:val="007C2DD0"/>
    <w:rsid w:val="007E18E1"/>
    <w:rsid w:val="007F2E08"/>
    <w:rsid w:val="00801C6B"/>
    <w:rsid w:val="008024FA"/>
    <w:rsid w:val="008028A4"/>
    <w:rsid w:val="00813245"/>
    <w:rsid w:val="00831AD6"/>
    <w:rsid w:val="00840DE0"/>
    <w:rsid w:val="00847CD0"/>
    <w:rsid w:val="008607A8"/>
    <w:rsid w:val="0086354A"/>
    <w:rsid w:val="008768CA"/>
    <w:rsid w:val="00877EF9"/>
    <w:rsid w:val="00880559"/>
    <w:rsid w:val="008A6032"/>
    <w:rsid w:val="008B3859"/>
    <w:rsid w:val="008B5306"/>
    <w:rsid w:val="008B54E8"/>
    <w:rsid w:val="008C2E2A"/>
    <w:rsid w:val="008C3057"/>
    <w:rsid w:val="008C4D2C"/>
    <w:rsid w:val="008D2E4D"/>
    <w:rsid w:val="008F396F"/>
    <w:rsid w:val="008F3DCD"/>
    <w:rsid w:val="0090271F"/>
    <w:rsid w:val="00902DB9"/>
    <w:rsid w:val="0090466A"/>
    <w:rsid w:val="00905E5A"/>
    <w:rsid w:val="00923655"/>
    <w:rsid w:val="009339CB"/>
    <w:rsid w:val="0093441C"/>
    <w:rsid w:val="00936071"/>
    <w:rsid w:val="009376CD"/>
    <w:rsid w:val="00940212"/>
    <w:rsid w:val="00942EC2"/>
    <w:rsid w:val="00947207"/>
    <w:rsid w:val="00961B32"/>
    <w:rsid w:val="00962509"/>
    <w:rsid w:val="00970DB3"/>
    <w:rsid w:val="00974BB0"/>
    <w:rsid w:val="00975BCD"/>
    <w:rsid w:val="009818A2"/>
    <w:rsid w:val="009928A9"/>
    <w:rsid w:val="009A0AF3"/>
    <w:rsid w:val="009B07CD"/>
    <w:rsid w:val="009B331F"/>
    <w:rsid w:val="009C19E9"/>
    <w:rsid w:val="009C28BD"/>
    <w:rsid w:val="009D74A6"/>
    <w:rsid w:val="009E0E87"/>
    <w:rsid w:val="00A10F02"/>
    <w:rsid w:val="00A17176"/>
    <w:rsid w:val="00A204CA"/>
    <w:rsid w:val="00A209D6"/>
    <w:rsid w:val="00A22738"/>
    <w:rsid w:val="00A30E86"/>
    <w:rsid w:val="00A36F5F"/>
    <w:rsid w:val="00A430EC"/>
    <w:rsid w:val="00A50AB5"/>
    <w:rsid w:val="00A53724"/>
    <w:rsid w:val="00A540D5"/>
    <w:rsid w:val="00A54B2B"/>
    <w:rsid w:val="00A66429"/>
    <w:rsid w:val="00A703B6"/>
    <w:rsid w:val="00A82346"/>
    <w:rsid w:val="00A96606"/>
    <w:rsid w:val="00A9671C"/>
    <w:rsid w:val="00AA1553"/>
    <w:rsid w:val="00AF4374"/>
    <w:rsid w:val="00B05380"/>
    <w:rsid w:val="00B05962"/>
    <w:rsid w:val="00B15449"/>
    <w:rsid w:val="00B159A7"/>
    <w:rsid w:val="00B16C2F"/>
    <w:rsid w:val="00B27303"/>
    <w:rsid w:val="00B46B80"/>
    <w:rsid w:val="00B47FD1"/>
    <w:rsid w:val="00B516BB"/>
    <w:rsid w:val="00B7538C"/>
    <w:rsid w:val="00B84DB2"/>
    <w:rsid w:val="00B93FAD"/>
    <w:rsid w:val="00B93FB9"/>
    <w:rsid w:val="00BC3555"/>
    <w:rsid w:val="00BD717B"/>
    <w:rsid w:val="00BE7A94"/>
    <w:rsid w:val="00BF6341"/>
    <w:rsid w:val="00C1035B"/>
    <w:rsid w:val="00C12B51"/>
    <w:rsid w:val="00C2432D"/>
    <w:rsid w:val="00C24650"/>
    <w:rsid w:val="00C25465"/>
    <w:rsid w:val="00C32BEB"/>
    <w:rsid w:val="00C33079"/>
    <w:rsid w:val="00C55A12"/>
    <w:rsid w:val="00C63D0A"/>
    <w:rsid w:val="00C6553E"/>
    <w:rsid w:val="00C71893"/>
    <w:rsid w:val="00C7743E"/>
    <w:rsid w:val="00C83A13"/>
    <w:rsid w:val="00C86F10"/>
    <w:rsid w:val="00C9068C"/>
    <w:rsid w:val="00C92967"/>
    <w:rsid w:val="00CA2BB9"/>
    <w:rsid w:val="00CA3D0C"/>
    <w:rsid w:val="00CA626C"/>
    <w:rsid w:val="00CA654B"/>
    <w:rsid w:val="00CB6A94"/>
    <w:rsid w:val="00CB72B8"/>
    <w:rsid w:val="00CC25DD"/>
    <w:rsid w:val="00CC574F"/>
    <w:rsid w:val="00CD0BA8"/>
    <w:rsid w:val="00CD4C7B"/>
    <w:rsid w:val="00CD58FE"/>
    <w:rsid w:val="00D072AC"/>
    <w:rsid w:val="00D33BE3"/>
    <w:rsid w:val="00D3792D"/>
    <w:rsid w:val="00D54820"/>
    <w:rsid w:val="00D55E47"/>
    <w:rsid w:val="00D61661"/>
    <w:rsid w:val="00D62E19"/>
    <w:rsid w:val="00D67CD1"/>
    <w:rsid w:val="00D7057B"/>
    <w:rsid w:val="00D738D6"/>
    <w:rsid w:val="00D80795"/>
    <w:rsid w:val="00D82E62"/>
    <w:rsid w:val="00D854BE"/>
    <w:rsid w:val="00D87E00"/>
    <w:rsid w:val="00D9134D"/>
    <w:rsid w:val="00D96D11"/>
    <w:rsid w:val="00DA7A03"/>
    <w:rsid w:val="00DB0DB8"/>
    <w:rsid w:val="00DB1818"/>
    <w:rsid w:val="00DC309B"/>
    <w:rsid w:val="00DC4DA2"/>
    <w:rsid w:val="00DC5261"/>
    <w:rsid w:val="00DE25D2"/>
    <w:rsid w:val="00DE5CAE"/>
    <w:rsid w:val="00DF7C20"/>
    <w:rsid w:val="00E038FB"/>
    <w:rsid w:val="00E46C08"/>
    <w:rsid w:val="00E471CF"/>
    <w:rsid w:val="00E51F64"/>
    <w:rsid w:val="00E62835"/>
    <w:rsid w:val="00E6480E"/>
    <w:rsid w:val="00E77645"/>
    <w:rsid w:val="00E83697"/>
    <w:rsid w:val="00E859B6"/>
    <w:rsid w:val="00E912E2"/>
    <w:rsid w:val="00E95056"/>
    <w:rsid w:val="00E97647"/>
    <w:rsid w:val="00EA66C9"/>
    <w:rsid w:val="00EB5D32"/>
    <w:rsid w:val="00EC33E7"/>
    <w:rsid w:val="00EC4A25"/>
    <w:rsid w:val="00ED76EC"/>
    <w:rsid w:val="00EF2F09"/>
    <w:rsid w:val="00EF612C"/>
    <w:rsid w:val="00F025A2"/>
    <w:rsid w:val="00F036E9"/>
    <w:rsid w:val="00F07388"/>
    <w:rsid w:val="00F2026E"/>
    <w:rsid w:val="00F21AA6"/>
    <w:rsid w:val="00F2210A"/>
    <w:rsid w:val="00F22E46"/>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C314D"/>
    <w:rsid w:val="00FE106D"/>
    <w:rsid w:val="00FE251B"/>
    <w:rsid w:val="00FE2736"/>
    <w:rsid w:val="00FE6081"/>
    <w:rsid w:val="00FF69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D7B8524-830F-47F6-80AF-B9DC147EF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E95056"/>
    <w:pPr>
      <w:ind w:left="720"/>
      <w:contextualSpacing/>
    </w:pPr>
  </w:style>
  <w:style w:type="table" w:styleId="TableGrid">
    <w:name w:val="Table Grid"/>
    <w:basedOn w:val="TableNormal"/>
    <w:rsid w:val="00BE7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40552E"/>
    <w:rPr>
      <w:lang w:eastAsia="en-US"/>
    </w:rPr>
  </w:style>
  <w:style w:type="character" w:styleId="CommentReference">
    <w:name w:val="annotation reference"/>
    <w:basedOn w:val="DefaultParagraphFont"/>
    <w:rsid w:val="004C510A"/>
    <w:rPr>
      <w:sz w:val="16"/>
      <w:szCs w:val="16"/>
    </w:rPr>
  </w:style>
  <w:style w:type="paragraph" w:styleId="CommentText">
    <w:name w:val="annotation text"/>
    <w:basedOn w:val="Normal"/>
    <w:link w:val="CommentTextChar"/>
    <w:rsid w:val="004C510A"/>
  </w:style>
  <w:style w:type="character" w:customStyle="1" w:styleId="CommentTextChar">
    <w:name w:val="Comment Text Char"/>
    <w:basedOn w:val="DefaultParagraphFont"/>
    <w:link w:val="CommentText"/>
    <w:rsid w:val="004C510A"/>
    <w:rPr>
      <w:lang w:eastAsia="en-US"/>
    </w:rPr>
  </w:style>
  <w:style w:type="paragraph" w:styleId="CommentSubject">
    <w:name w:val="annotation subject"/>
    <w:basedOn w:val="CommentText"/>
    <w:next w:val="CommentText"/>
    <w:link w:val="CommentSubjectChar"/>
    <w:rsid w:val="004C510A"/>
    <w:rPr>
      <w:b/>
      <w:bCs/>
    </w:rPr>
  </w:style>
  <w:style w:type="character" w:customStyle="1" w:styleId="CommentSubjectChar">
    <w:name w:val="Comment Subject Char"/>
    <w:basedOn w:val="CommentTextChar"/>
    <w:link w:val="CommentSubject"/>
    <w:rsid w:val="004C510A"/>
    <w:rPr>
      <w:b/>
      <w:bCs/>
      <w:lang w:eastAsia="en-US"/>
    </w:rPr>
  </w:style>
  <w:style w:type="paragraph" w:styleId="Revision">
    <w:name w:val="Revision"/>
    <w:hidden/>
    <w:uiPriority w:val="99"/>
    <w:semiHidden/>
    <w:rsid w:val="00CA62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5AIRPNAIUNRU-859666464-14188</_dlc_DocId>
    <_dlc_DocIdUrl xmlns="71c5aaf6-e6ce-465b-b873-5148d2a4c105">
      <Url>https://nokia.sharepoint.com/sites/c5g/e2earch/_layouts/15/DocIdRedir.aspx?ID=5AIRPNAIUNRU-859666464-14188</Url>
      <Description>5AIRPNAIUNRU-859666464-14188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51C978C-DB37-41DD-896D-B2CD937B8ABA}">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2108</Words>
  <Characters>12020</Characters>
  <Application>Microsoft Office Word</Application>
  <DocSecurity>4</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101</cp:revision>
  <dcterms:created xsi:type="dcterms:W3CDTF">2023-05-04T22:59:00Z</dcterms:created>
  <dcterms:modified xsi:type="dcterms:W3CDTF">2023-05-12T15:24:00Z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7e6db5c8-78a4-4cde-8a15-6006a3f4a2c2</vt:lpwstr>
  </property>
</Properties>
</file>